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54C2" w:rsidRPr="00BC7AB7" w:rsidRDefault="00BC7AB7">
      <w:pPr>
        <w:pStyle w:val="Heading1"/>
        <w:contextualSpacing w:val="0"/>
        <w:jc w:val="center"/>
        <w:rPr>
          <w:rFonts w:ascii="Arial" w:hAnsi="Arial" w:cs="Arial"/>
        </w:rPr>
      </w:pPr>
      <w:bookmarkStart w:id="0" w:name="h.6nvw8sv28227" w:colFirst="0" w:colLast="0"/>
      <w:bookmarkEnd w:id="0"/>
      <w:r w:rsidRPr="00BC7AB7">
        <w:rPr>
          <w:rFonts w:ascii="Arial" w:hAnsi="Arial" w:cs="Arial"/>
        </w:rPr>
        <w:t>Communication Technologies Advisory Group</w:t>
      </w:r>
    </w:p>
    <w:p w:rsidR="00BC7AB7" w:rsidRPr="00BC7AB7" w:rsidRDefault="00BC7AB7" w:rsidP="00BC7AB7">
      <w:pPr>
        <w:jc w:val="center"/>
        <w:rPr>
          <w:sz w:val="32"/>
          <w:szCs w:val="32"/>
        </w:rPr>
      </w:pPr>
      <w:r w:rsidRPr="00BC7AB7">
        <w:rPr>
          <w:sz w:val="32"/>
          <w:szCs w:val="32"/>
        </w:rPr>
        <w:t>Agenda</w:t>
      </w:r>
    </w:p>
    <w:p w:rsidR="00B254C2" w:rsidRPr="00BC7AB7" w:rsidRDefault="00BC7AB7">
      <w:pPr>
        <w:pStyle w:val="Heading1"/>
        <w:contextualSpacing w:val="0"/>
        <w:jc w:val="center"/>
        <w:rPr>
          <w:rFonts w:ascii="Arial" w:hAnsi="Arial" w:cs="Arial"/>
        </w:rPr>
      </w:pPr>
      <w:bookmarkStart w:id="1" w:name="h.5kdbckkrdnib" w:colFirst="0" w:colLast="0"/>
      <w:bookmarkEnd w:id="1"/>
      <w:r w:rsidRPr="00BC7AB7">
        <w:rPr>
          <w:rFonts w:ascii="Arial" w:hAnsi="Arial" w:cs="Arial"/>
        </w:rPr>
        <w:t>October 1, 2015</w:t>
      </w:r>
    </w:p>
    <w:p w:rsidR="00B254C2" w:rsidRPr="00BC7AB7" w:rsidRDefault="00BC7AB7">
      <w:pPr>
        <w:pStyle w:val="Heading1"/>
        <w:contextualSpacing w:val="0"/>
        <w:rPr>
          <w:rFonts w:ascii="Arial" w:hAnsi="Arial" w:cs="Arial"/>
        </w:rPr>
      </w:pPr>
      <w:bookmarkStart w:id="2" w:name="h.pb57y2xxbkn2" w:colFirst="0" w:colLast="0"/>
      <w:bookmarkEnd w:id="2"/>
      <w:r w:rsidRPr="00BC7AB7"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B254C2" w:rsidRPr="00BC7AB7" w:rsidRDefault="00BC7AB7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4" w:name="h.7xvhc0xzfxud" w:colFirst="0" w:colLast="0"/>
      <w:bookmarkEnd w:id="4"/>
      <w:r w:rsidRPr="00BC7AB7">
        <w:rPr>
          <w:rFonts w:ascii="Arial" w:eastAsia="Arial" w:hAnsi="Arial" w:cs="Arial"/>
          <w:sz w:val="24"/>
          <w:szCs w:val="24"/>
        </w:rPr>
        <w:t xml:space="preserve">CATV - </w:t>
      </w:r>
    </w:p>
    <w:p w:rsidR="00B254C2" w:rsidRPr="00BC7AB7" w:rsidRDefault="00BC7AB7">
      <w:r w:rsidRPr="00BC7AB7">
        <w:rPr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MDFs</w:t>
      </w:r>
    </w:p>
    <w:p w:rsidR="00B254C2" w:rsidRPr="00BC7AB7" w:rsidRDefault="00BC7AB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CMDF - designing </w:t>
      </w:r>
      <w:proofErr w:type="spellStart"/>
      <w:r w:rsidRPr="00BC7AB7">
        <w:rPr>
          <w:sz w:val="24"/>
          <w:szCs w:val="24"/>
        </w:rPr>
        <w:t>add’l</w:t>
      </w:r>
      <w:proofErr w:type="spellEnd"/>
      <w:r w:rsidRPr="00BC7AB7">
        <w:rPr>
          <w:sz w:val="24"/>
          <w:szCs w:val="24"/>
        </w:rPr>
        <w:t xml:space="preserve"> HVAC redundancy, relocated power panels </w:t>
      </w:r>
    </w:p>
    <w:p w:rsidR="00B254C2" w:rsidRPr="00BC7AB7" w:rsidRDefault="00BC7AB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NMDF - Makeover design in progress</w:t>
      </w:r>
    </w:p>
    <w:p w:rsidR="00B254C2" w:rsidRPr="00BC7AB7" w:rsidRDefault="00BC7AB7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WMDF – final room upgrades in progress</w:t>
      </w:r>
    </w:p>
    <w:p w:rsidR="00B254C2" w:rsidRPr="00BC7AB7" w:rsidRDefault="00BC7AB7">
      <w:r w:rsidRPr="00BC7AB7">
        <w:rPr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Infrastructure Records</w:t>
      </w:r>
    </w:p>
    <w:p w:rsidR="00B254C2" w:rsidRPr="00BC7AB7" w:rsidRDefault="00BC7AB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Outside plant fiber inventory in planning</w:t>
      </w:r>
    </w:p>
    <w:p w:rsidR="00B254C2" w:rsidRPr="00BC7AB7" w:rsidRDefault="00BC7AB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Wireless maps development in progress (123/182 buildings loaded) – public interface in planning</w:t>
      </w:r>
    </w:p>
    <w:p w:rsidR="00B254C2" w:rsidRPr="00BC7AB7" w:rsidRDefault="00BC7AB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25</w:t>
      </w:r>
      <w:r w:rsidRPr="00BC7AB7">
        <w:rPr>
          <w:sz w:val="24"/>
          <w:szCs w:val="24"/>
        </w:rPr>
        <w:t>2</w:t>
      </w:r>
      <w:r w:rsidRPr="00BC7AB7">
        <w:rPr>
          <w:sz w:val="24"/>
          <w:szCs w:val="24"/>
        </w:rPr>
        <w:t xml:space="preserve"> buildings (42,300 outlets) in PLA ground.</w:t>
      </w:r>
    </w:p>
    <w:p w:rsidR="00B254C2" w:rsidRPr="00BC7AB7" w:rsidRDefault="00BC7AB7">
      <w:r w:rsidRPr="00BC7AB7">
        <w:rPr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Building Infrastructure Projects</w:t>
      </w:r>
    </w:p>
    <w:p w:rsidR="00B254C2" w:rsidRPr="00BC7AB7" w:rsidRDefault="00BC7AB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Research 4 under construction</w:t>
      </w:r>
    </w:p>
    <w:p w:rsidR="00B254C2" w:rsidRPr="00BC7AB7" w:rsidRDefault="00BC7AB7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CFL, DH</w:t>
      </w:r>
      <w:r w:rsidRPr="00BC7AB7">
        <w:rPr>
          <w:sz w:val="24"/>
          <w:szCs w:val="24"/>
        </w:rPr>
        <w:t xml:space="preserve"> Hill, Cox, MRC in design</w:t>
      </w:r>
    </w:p>
    <w:p w:rsidR="00B254C2" w:rsidRPr="00BC7AB7" w:rsidRDefault="00BC7AB7">
      <w:r w:rsidRPr="00BC7AB7">
        <w:rPr>
          <w:b/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 xml:space="preserve">UPS - </w:t>
      </w:r>
      <w:r w:rsidRPr="00BC7AB7">
        <w:rPr>
          <w:sz w:val="24"/>
          <w:szCs w:val="24"/>
        </w:rPr>
        <w:t xml:space="preserve">Developing list for FY2015/16, replacements will start in </w:t>
      </w:r>
      <w:proofErr w:type="gramStart"/>
      <w:r w:rsidRPr="00BC7AB7">
        <w:rPr>
          <w:sz w:val="24"/>
          <w:szCs w:val="24"/>
        </w:rPr>
        <w:t>Fall</w:t>
      </w:r>
      <w:proofErr w:type="gramEnd"/>
      <w:r w:rsidRPr="00BC7AB7">
        <w:rPr>
          <w:sz w:val="24"/>
          <w:szCs w:val="24"/>
        </w:rPr>
        <w:t>.</w:t>
      </w:r>
    </w:p>
    <w:p w:rsidR="00B254C2" w:rsidRPr="00BC7AB7" w:rsidRDefault="00BC7AB7">
      <w:r w:rsidRPr="00BC7AB7">
        <w:rPr>
          <w:b/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Campus Backbone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Cisco ACE Load balancer: Cisco recently provided a security update that was applied on September 19th during the data center maintenance window.</w:t>
      </w:r>
    </w:p>
    <w:p w:rsidR="00B254C2" w:rsidRPr="00BC7AB7" w:rsidRDefault="00BC7AB7">
      <w:pPr>
        <w:numPr>
          <w:ilvl w:val="1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New Patch Management Standard - </w:t>
      </w:r>
      <w:hyperlink r:id="rId5">
        <w:r w:rsidRPr="00BC7AB7">
          <w:rPr>
            <w:color w:val="1155CC"/>
            <w:sz w:val="24"/>
            <w:szCs w:val="24"/>
            <w:u w:val="single"/>
          </w:rPr>
          <w:t>https://docs.google.com/document/d/1zaV-JBYDQU2mgLAhQuO0q75EgpE8caGOSYNUFS91p6Q/edit</w:t>
        </w:r>
      </w:hyperlink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All 5 MDF network management </w:t>
      </w:r>
      <w:proofErr w:type="spellStart"/>
      <w:r w:rsidRPr="00BC7AB7">
        <w:rPr>
          <w:sz w:val="24"/>
          <w:szCs w:val="24"/>
        </w:rPr>
        <w:t>vlans</w:t>
      </w:r>
      <w:proofErr w:type="spellEnd"/>
      <w:r w:rsidRPr="00BC7AB7">
        <w:rPr>
          <w:sz w:val="24"/>
          <w:szCs w:val="24"/>
        </w:rPr>
        <w:t xml:space="preserve"> moved to MPLS L3VPN.  All </w:t>
      </w:r>
      <w:proofErr w:type="spellStart"/>
      <w:r w:rsidRPr="00BC7AB7">
        <w:rPr>
          <w:sz w:val="24"/>
          <w:szCs w:val="24"/>
        </w:rPr>
        <w:t>ComTech</w:t>
      </w:r>
      <w:proofErr w:type="spellEnd"/>
      <w:r w:rsidRPr="00BC7AB7">
        <w:rPr>
          <w:sz w:val="24"/>
          <w:szCs w:val="24"/>
        </w:rPr>
        <w:t xml:space="preserve"> data center network management VLANs moved to MPLS L3VPN.  We may not need to</w:t>
      </w:r>
      <w:r w:rsidRPr="00BC7AB7">
        <w:rPr>
          <w:sz w:val="24"/>
          <w:szCs w:val="24"/>
        </w:rPr>
        <w:t xml:space="preserve"> place backbone router control plane functionality behind MPLS L3VPN.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Backbone IOS upgrade required again due to critical security fixes (CVE high).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Planning backbone fiber circuit migration away from the legacy Cox cross connect due to the need for additi</w:t>
      </w:r>
      <w:r w:rsidRPr="00BC7AB7">
        <w:rPr>
          <w:sz w:val="24"/>
          <w:szCs w:val="24"/>
        </w:rPr>
        <w:t>onal BDF space within that room.  Most of this will be transparent.  This must happen before further progress is made in moving other equipment to new circuits.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lastRenderedPageBreak/>
        <w:t>IPS/IDS equipment will be placed in-line with PCI CDE traffic after OIT S&amp;C provides an informa</w:t>
      </w:r>
      <w:r w:rsidRPr="00BC7AB7">
        <w:rPr>
          <w:sz w:val="24"/>
          <w:szCs w:val="24"/>
        </w:rPr>
        <w:t>tional session to stakeholders.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Continuing to finalize a significant portion of the centralized services infrastructure at SMDF and CMDF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proofErr w:type="spellStart"/>
      <w:r w:rsidRPr="00BC7AB7">
        <w:rPr>
          <w:sz w:val="24"/>
          <w:szCs w:val="24"/>
        </w:rPr>
        <w:t>ResNet</w:t>
      </w:r>
      <w:proofErr w:type="spellEnd"/>
      <w:r w:rsidRPr="00BC7AB7">
        <w:rPr>
          <w:sz w:val="24"/>
          <w:szCs w:val="24"/>
        </w:rPr>
        <w:t xml:space="preserve">: 5Gb/s bandwidth holding; only 8.5GB dropped by rate-limiter since mid-August. 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Looking into future WAN connectivity options to NCREN (Nx10G vs 100G) - both Internet gateways will be “active” until we implement additional WAN connectivity.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Centrex Replacement NMDF and SMDF Zones - in design</w:t>
      </w:r>
    </w:p>
    <w:p w:rsidR="00B254C2" w:rsidRPr="00BC7AB7" w:rsidRDefault="00BC7AB7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Fiber rework at Cox X-connect</w:t>
      </w:r>
    </w:p>
    <w:p w:rsidR="00B254C2" w:rsidRPr="00BC7AB7" w:rsidRDefault="00BC7AB7">
      <w:r w:rsidRPr="00BC7AB7">
        <w:rPr>
          <w:b/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Data Center</w:t>
      </w:r>
    </w:p>
    <w:p w:rsidR="00B254C2" w:rsidRPr="00BC7AB7" w:rsidRDefault="00BC7AB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Access layer switch software upgrades completed on 8/9/2015 in DC1 and DC2.</w:t>
      </w:r>
    </w:p>
    <w:p w:rsidR="00B254C2" w:rsidRPr="00BC7AB7" w:rsidRDefault="00BC7AB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Core/Distribution and firewall upgrades completed on 8/19/2015 in DC1/DC2</w:t>
      </w:r>
    </w:p>
    <w:p w:rsidR="00B254C2" w:rsidRPr="00BC7AB7" w:rsidRDefault="00BC7AB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Service chassis upgrades required - time to be announced - should not be service impacting.</w:t>
      </w:r>
    </w:p>
    <w:p w:rsidR="00B254C2" w:rsidRPr="00BC7AB7" w:rsidRDefault="00BC7AB7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Extended maint</w:t>
      </w:r>
      <w:r w:rsidRPr="00BC7AB7">
        <w:rPr>
          <w:sz w:val="24"/>
          <w:szCs w:val="24"/>
        </w:rPr>
        <w:t>enance 11/7/2015 - 11/8/2015</w:t>
      </w:r>
    </w:p>
    <w:p w:rsidR="00B254C2" w:rsidRPr="00BC7AB7" w:rsidRDefault="00BC7AB7">
      <w:r w:rsidRPr="00BC7AB7">
        <w:rPr>
          <w:sz w:val="24"/>
          <w:szCs w:val="24"/>
        </w:rPr>
        <w:t xml:space="preserve"> </w:t>
      </w:r>
    </w:p>
    <w:p w:rsidR="00B254C2" w:rsidRPr="00BC7AB7" w:rsidRDefault="00BC7AB7">
      <w:r w:rsidRPr="00BC7AB7">
        <w:rPr>
          <w:b/>
          <w:sz w:val="24"/>
          <w:szCs w:val="24"/>
        </w:rPr>
        <w:t>Access Layer</w:t>
      </w:r>
    </w:p>
    <w:p w:rsidR="00B254C2" w:rsidRPr="00BC7AB7" w:rsidRDefault="00BC7AB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Building upgrades “CALA Lite”  - FY14/15 projects - all designs complete except for Venture II, Nelson</w:t>
      </w:r>
    </w:p>
    <w:p w:rsidR="00B254C2" w:rsidRPr="00BC7AB7" w:rsidRDefault="00BC7AB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FY15/16 projects - Student Health started</w:t>
      </w:r>
    </w:p>
    <w:p w:rsidR="00B254C2" w:rsidRPr="00BC7AB7" w:rsidRDefault="00BC7AB7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IOS upgrades this Fall/Winter within the access layer - starting wi</w:t>
      </w:r>
      <w:r w:rsidRPr="00BC7AB7">
        <w:rPr>
          <w:sz w:val="24"/>
          <w:szCs w:val="24"/>
        </w:rPr>
        <w:t>th 4500X upgrades to “grant” buildings within the next week or so.</w:t>
      </w:r>
    </w:p>
    <w:p w:rsidR="00B254C2" w:rsidRPr="00BC7AB7" w:rsidRDefault="00B254C2"/>
    <w:p w:rsidR="00B254C2" w:rsidRPr="00BC7AB7" w:rsidRDefault="00BC7AB7">
      <w:proofErr w:type="spellStart"/>
      <w:r w:rsidRPr="00BC7AB7">
        <w:rPr>
          <w:b/>
          <w:sz w:val="24"/>
          <w:szCs w:val="24"/>
        </w:rPr>
        <w:t>Bluelights</w:t>
      </w:r>
      <w:proofErr w:type="spellEnd"/>
      <w:r w:rsidRPr="00BC7AB7">
        <w:rPr>
          <w:b/>
          <w:sz w:val="24"/>
          <w:szCs w:val="24"/>
        </w:rPr>
        <w:t xml:space="preserve"> -</w:t>
      </w:r>
      <w:r w:rsidRPr="00BC7AB7">
        <w:rPr>
          <w:sz w:val="24"/>
          <w:szCs w:val="24"/>
        </w:rPr>
        <w:t xml:space="preserve"> Working on comprehensive long-term plan. Currently have a resource devoting 20 hours/week to </w:t>
      </w:r>
      <w:proofErr w:type="spellStart"/>
      <w:r w:rsidRPr="00BC7AB7">
        <w:rPr>
          <w:sz w:val="24"/>
          <w:szCs w:val="24"/>
        </w:rPr>
        <w:t>Bluelight</w:t>
      </w:r>
      <w:proofErr w:type="spellEnd"/>
      <w:r w:rsidRPr="00BC7AB7">
        <w:rPr>
          <w:sz w:val="24"/>
          <w:szCs w:val="24"/>
        </w:rPr>
        <w:t xml:space="preserve"> maintenance.</w:t>
      </w:r>
    </w:p>
    <w:p w:rsidR="00B254C2" w:rsidRPr="00BC7AB7" w:rsidRDefault="00BC7AB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Have received a cellular stanchion to be installed at </w:t>
      </w:r>
      <w:proofErr w:type="spellStart"/>
      <w:r w:rsidRPr="00BC7AB7">
        <w:rPr>
          <w:sz w:val="24"/>
          <w:szCs w:val="24"/>
        </w:rPr>
        <w:t>McKimmon</w:t>
      </w:r>
      <w:proofErr w:type="spellEnd"/>
    </w:p>
    <w:p w:rsidR="00B254C2" w:rsidRPr="00BC7AB7" w:rsidRDefault="00BC7AB7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Have ordered two solar powered stanchions for other locations</w:t>
      </w:r>
    </w:p>
    <w:p w:rsidR="00B254C2" w:rsidRPr="00BC7AB7" w:rsidRDefault="00B254C2"/>
    <w:p w:rsidR="00B254C2" w:rsidRPr="00BC7AB7" w:rsidRDefault="00BC7AB7">
      <w:r w:rsidRPr="00BC7AB7">
        <w:rPr>
          <w:b/>
          <w:sz w:val="24"/>
          <w:szCs w:val="24"/>
        </w:rPr>
        <w:t xml:space="preserve">Cellular/mobile </w:t>
      </w:r>
      <w:r w:rsidRPr="00BC7AB7">
        <w:rPr>
          <w:sz w:val="24"/>
          <w:szCs w:val="24"/>
        </w:rPr>
        <w:t>– Verizon/</w:t>
      </w:r>
      <w:proofErr w:type="spellStart"/>
      <w:r w:rsidRPr="00BC7AB7">
        <w:rPr>
          <w:sz w:val="24"/>
          <w:szCs w:val="24"/>
        </w:rPr>
        <w:t>Spidercloud</w:t>
      </w:r>
      <w:proofErr w:type="spellEnd"/>
      <w:r w:rsidRPr="00BC7AB7">
        <w:rPr>
          <w:sz w:val="24"/>
          <w:szCs w:val="24"/>
        </w:rPr>
        <w:t xml:space="preserve"> pilot - Williams, Scott, Riddick</w:t>
      </w:r>
    </w:p>
    <w:p w:rsidR="00B254C2" w:rsidRPr="00BC7AB7" w:rsidRDefault="00B254C2"/>
    <w:p w:rsidR="00B254C2" w:rsidRPr="00BC7AB7" w:rsidRDefault="00BC7AB7">
      <w:r w:rsidRPr="00BC7AB7">
        <w:rPr>
          <w:b/>
          <w:sz w:val="24"/>
          <w:szCs w:val="24"/>
        </w:rPr>
        <w:t xml:space="preserve">IT Strategic Planning </w:t>
      </w:r>
      <w:r w:rsidRPr="00BC7AB7">
        <w:rPr>
          <w:sz w:val="24"/>
          <w:szCs w:val="24"/>
        </w:rPr>
        <w:t>- Cyberinfrastructure Masterplan tho</w:t>
      </w:r>
      <w:r w:rsidRPr="00BC7AB7">
        <w:rPr>
          <w:sz w:val="24"/>
          <w:szCs w:val="24"/>
        </w:rPr>
        <w:t>ughts</w:t>
      </w:r>
    </w:p>
    <w:p w:rsidR="00B254C2" w:rsidRPr="00BC7AB7" w:rsidRDefault="00B254C2"/>
    <w:p w:rsidR="00B254C2" w:rsidRPr="00BC7AB7" w:rsidRDefault="00BC7AB7">
      <w:r w:rsidRPr="00BC7AB7">
        <w:rPr>
          <w:b/>
          <w:sz w:val="24"/>
          <w:szCs w:val="24"/>
        </w:rPr>
        <w:t>Budget</w:t>
      </w:r>
    </w:p>
    <w:p w:rsidR="00B254C2" w:rsidRPr="00BC7AB7" w:rsidRDefault="00BC7AB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Have moved to FTE-based model for 15/16 and converted to auxiliary (redistributing state funds to units in same ratio impacted to be net 0)</w:t>
      </w:r>
    </w:p>
    <w:p w:rsidR="00B254C2" w:rsidRPr="00BC7AB7" w:rsidRDefault="00BC7AB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Finance &amp; Administration “bought down” phone rate one more year ($7 vs. $8)</w:t>
      </w:r>
    </w:p>
    <w:p w:rsidR="00B254C2" w:rsidRPr="00BC7AB7" w:rsidRDefault="00BC7AB7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6" w:anchor="gid=0">
        <w:r w:rsidRPr="00BC7AB7">
          <w:rPr>
            <w:color w:val="1155CC"/>
            <w:sz w:val="24"/>
            <w:szCs w:val="24"/>
            <w:u w:val="single"/>
          </w:rPr>
          <w:t>FY16 Projects Review</w:t>
        </w:r>
      </w:hyperlink>
    </w:p>
    <w:p w:rsidR="00B254C2" w:rsidRPr="00BC7AB7" w:rsidRDefault="00B254C2"/>
    <w:p w:rsidR="00B254C2" w:rsidRPr="00BC7AB7" w:rsidRDefault="00BC7AB7">
      <w:r w:rsidRPr="00BC7AB7">
        <w:rPr>
          <w:b/>
          <w:sz w:val="24"/>
          <w:szCs w:val="24"/>
        </w:rPr>
        <w:lastRenderedPageBreak/>
        <w:t>Unified Communications</w:t>
      </w:r>
    </w:p>
    <w:p w:rsidR="00B254C2" w:rsidRPr="00BC7AB7" w:rsidRDefault="00BC7AB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UNCG and App State Updates</w:t>
      </w:r>
    </w:p>
    <w:p w:rsidR="00B254C2" w:rsidRPr="00BC7AB7" w:rsidRDefault="00BC7AB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Centrex Replacement (NMDF &amp; SMDF)</w:t>
      </w:r>
    </w:p>
    <w:p w:rsidR="00B254C2" w:rsidRPr="00BC7AB7" w:rsidRDefault="00BC7AB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 w:rsidRPr="00BC7AB7">
        <w:rPr>
          <w:sz w:val="24"/>
          <w:szCs w:val="24"/>
        </w:rPr>
        <w:t>MySoft</w:t>
      </w:r>
      <w:proofErr w:type="spellEnd"/>
      <w:r w:rsidRPr="00BC7AB7">
        <w:rPr>
          <w:sz w:val="24"/>
          <w:szCs w:val="24"/>
        </w:rPr>
        <w:t xml:space="preserve"> Replacement</w:t>
      </w:r>
    </w:p>
    <w:p w:rsidR="00B254C2" w:rsidRPr="00BC7AB7" w:rsidRDefault="00BC7AB7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Multiples &amp; Extensions (CAT6a upgrade)</w:t>
      </w:r>
    </w:p>
    <w:p w:rsidR="00B254C2" w:rsidRPr="00BC7AB7" w:rsidRDefault="00BC7AB7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5" w:name="h.13t8vihn02dw" w:colFirst="0" w:colLast="0"/>
      <w:bookmarkEnd w:id="5"/>
      <w:r w:rsidRPr="00BC7AB7">
        <w:rPr>
          <w:rFonts w:ascii="Arial" w:eastAsia="Arial" w:hAnsi="Arial" w:cs="Arial"/>
          <w:sz w:val="24"/>
          <w:szCs w:val="24"/>
        </w:rPr>
        <w:t xml:space="preserve"> </w:t>
      </w:r>
      <w:r w:rsidRPr="00BC7AB7">
        <w:rPr>
          <w:rFonts w:ascii="Arial" w:hAnsi="Arial" w:cs="Arial"/>
          <w:sz w:val="24"/>
          <w:szCs w:val="24"/>
        </w:rPr>
        <w:t>Wireless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Design – Talley phase 2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Test bed in Hillsborough Bldg.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Residence Hall full wireless – summers of 2016 and 2017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EDUROAM (secure SSID )</w:t>
      </w:r>
    </w:p>
    <w:p w:rsidR="00B254C2" w:rsidRPr="00BC7AB7" w:rsidRDefault="00BC7AB7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Goal is to eventually transition as many stakeholders as possible to use this SSID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Proactive monitoring of over saturated 11n AP’s.</w:t>
      </w:r>
    </w:p>
    <w:p w:rsidR="00B254C2" w:rsidRPr="00BC7AB7" w:rsidRDefault="00BC7AB7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Request for full design for Partners III</w:t>
      </w:r>
    </w:p>
    <w:p w:rsidR="00B254C2" w:rsidRPr="00BC7AB7" w:rsidRDefault="00BC7AB7">
      <w:pPr>
        <w:pStyle w:val="Heading3"/>
        <w:spacing w:before="280" w:after="80"/>
        <w:contextualSpacing w:val="0"/>
        <w:rPr>
          <w:rFonts w:ascii="Arial" w:hAnsi="Arial" w:cs="Arial"/>
        </w:rPr>
      </w:pPr>
      <w:bookmarkStart w:id="6" w:name="h.8nz7izdlmtc8" w:colFirst="0" w:colLast="0"/>
      <w:bookmarkEnd w:id="6"/>
      <w:r w:rsidRPr="00BC7AB7">
        <w:rPr>
          <w:rFonts w:ascii="Arial" w:eastAsia="Arial" w:hAnsi="Arial" w:cs="Arial"/>
          <w:color w:val="000000"/>
        </w:rPr>
        <w:t xml:space="preserve"> Parking Lot Items</w:t>
      </w:r>
    </w:p>
    <w:p w:rsidR="00B254C2" w:rsidRPr="00BC7AB7" w:rsidRDefault="00BC7AB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BC7AB7">
        <w:rPr>
          <w:sz w:val="24"/>
          <w:szCs w:val="24"/>
        </w:rPr>
        <w:t>ComTech</w:t>
      </w:r>
      <w:proofErr w:type="spellEnd"/>
      <w:r w:rsidRPr="00BC7AB7">
        <w:rPr>
          <w:sz w:val="24"/>
          <w:szCs w:val="24"/>
        </w:rPr>
        <w:t xml:space="preserve"> funds when required</w:t>
      </w:r>
    </w:p>
    <w:p w:rsidR="00B254C2" w:rsidRPr="00BC7AB7" w:rsidRDefault="00BC7AB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>“</w:t>
      </w:r>
      <w:r w:rsidRPr="00BC7AB7">
        <w:rPr>
          <w:sz w:val="24"/>
          <w:szCs w:val="24"/>
        </w:rPr>
        <w:t>virtual data center” – what is it and who pays</w:t>
      </w:r>
    </w:p>
    <w:p w:rsidR="00B254C2" w:rsidRPr="00BC7AB7" w:rsidRDefault="00BC7AB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BC7AB7">
        <w:rPr>
          <w:i/>
          <w:sz w:val="24"/>
          <w:szCs w:val="24"/>
        </w:rPr>
        <w:t xml:space="preserve"> </w:t>
      </w:r>
      <w:r w:rsidRPr="00BC7AB7">
        <w:rPr>
          <w:sz w:val="24"/>
          <w:szCs w:val="24"/>
        </w:rPr>
        <w:t>Funding for server rooms, higher capacity (10Gbs ports), etc.</w:t>
      </w:r>
    </w:p>
    <w:p w:rsidR="00B254C2" w:rsidRPr="00BC7AB7" w:rsidRDefault="00BC7AB7">
      <w:pPr>
        <w:pStyle w:val="Heading2"/>
        <w:spacing w:before="360" w:after="80"/>
        <w:contextualSpacing w:val="0"/>
        <w:rPr>
          <w:rFonts w:ascii="Arial" w:hAnsi="Arial" w:cs="Arial"/>
        </w:rPr>
      </w:pPr>
      <w:bookmarkStart w:id="7" w:name="h.gfd48qard3bg" w:colFirst="0" w:colLast="0"/>
      <w:bookmarkEnd w:id="7"/>
      <w:r w:rsidRPr="00BC7AB7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B254C2" w:rsidRPr="00BC7AB7" w:rsidRDefault="00BC7AB7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BC7AB7">
        <w:rPr>
          <w:sz w:val="24"/>
          <w:szCs w:val="24"/>
        </w:rPr>
        <w:t xml:space="preserve">Next CTAG Meeting  – November 5, 2015 - </w:t>
      </w:r>
      <w:r w:rsidRPr="00BC7AB7">
        <w:rPr>
          <w:b/>
          <w:sz w:val="24"/>
          <w:szCs w:val="24"/>
        </w:rPr>
        <w:t>AFTC 203</w:t>
      </w:r>
    </w:p>
    <w:p w:rsidR="00B254C2" w:rsidRPr="00BC7AB7" w:rsidRDefault="00B254C2"/>
    <w:sectPr w:rsidR="00B254C2" w:rsidRPr="00BC7A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FAC"/>
    <w:multiLevelType w:val="multilevel"/>
    <w:tmpl w:val="6EB228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644B80"/>
    <w:multiLevelType w:val="multilevel"/>
    <w:tmpl w:val="7514E2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CC12087"/>
    <w:multiLevelType w:val="multilevel"/>
    <w:tmpl w:val="1DF80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5540ABC"/>
    <w:multiLevelType w:val="multilevel"/>
    <w:tmpl w:val="21BE00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DC275DF"/>
    <w:multiLevelType w:val="multilevel"/>
    <w:tmpl w:val="57FE0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4E70AEB"/>
    <w:multiLevelType w:val="multilevel"/>
    <w:tmpl w:val="F89879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48122D78"/>
    <w:multiLevelType w:val="multilevel"/>
    <w:tmpl w:val="230E21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9F25BB0"/>
    <w:multiLevelType w:val="multilevel"/>
    <w:tmpl w:val="60D07E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AB808F2"/>
    <w:multiLevelType w:val="multilevel"/>
    <w:tmpl w:val="C3507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5A82142"/>
    <w:multiLevelType w:val="multilevel"/>
    <w:tmpl w:val="409056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9745AC1"/>
    <w:multiLevelType w:val="multilevel"/>
    <w:tmpl w:val="EBB64B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40073F0"/>
    <w:multiLevelType w:val="multilevel"/>
    <w:tmpl w:val="1152DB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C2"/>
    <w:rsid w:val="00B254C2"/>
    <w:rsid w:val="00B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96314-E9EC-4464-9FD5-64714211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UGnRgHOGyztuUkkjjdKf9bvzx3k5RIOSfk6J-fUBBXM/edit" TargetMode="External"/><Relationship Id="rId5" Type="http://schemas.openxmlformats.org/officeDocument/2006/relationships/hyperlink" Target="https://docs.google.com/document/d/1zaV-JBYDQU2mgLAhQuO0q75EgpE8caGOSYNUFS91p6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2015-10-12T14:54:00Z</dcterms:created>
  <dcterms:modified xsi:type="dcterms:W3CDTF">2015-10-12T14:54:00Z</dcterms:modified>
</cp:coreProperties>
</file>