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F023FC">
        <w:rPr>
          <w:b/>
        </w:rPr>
        <w:t>05</w:t>
      </w:r>
      <w:r w:rsidRPr="00FF3242">
        <w:rPr>
          <w:b/>
        </w:rPr>
        <w:t xml:space="preserve"> </w:t>
      </w:r>
      <w:r w:rsidR="00503BBD">
        <w:rPr>
          <w:b/>
        </w:rPr>
        <w:t>2</w:t>
      </w:r>
      <w:r w:rsidR="00F023FC">
        <w:rPr>
          <w:b/>
        </w:rPr>
        <w:t>6</w:t>
      </w:r>
      <w:r w:rsidRPr="00FF3242">
        <w:rPr>
          <w:b/>
        </w:rPr>
        <w:t xml:space="preserve"> </w:t>
      </w:r>
      <w:r w:rsidR="00182DFF">
        <w:rPr>
          <w:b/>
        </w:rPr>
        <w:t>BDF/</w:t>
      </w:r>
      <w:r w:rsidR="00570F06">
        <w:rPr>
          <w:b/>
        </w:rPr>
        <w:t xml:space="preserve">IDF </w:t>
      </w:r>
      <w:r w:rsidR="00F023FC">
        <w:rPr>
          <w:b/>
        </w:rPr>
        <w:t>Grounding and Bonding for Communication</w:t>
      </w:r>
      <w:r w:rsidR="00310DAD">
        <w:rPr>
          <w:b/>
        </w:rPr>
        <w:t xml:space="preserve"> System</w:t>
      </w:r>
      <w:r w:rsidR="008E0BF6">
        <w:rPr>
          <w:b/>
        </w:rPr>
        <w:t>s</w:t>
      </w:r>
    </w:p>
    <w:p w:rsidR="00E919A9" w:rsidRPr="00E919A9" w:rsidRDefault="00E919A9" w:rsidP="00A73DD6">
      <w:pPr>
        <w:pStyle w:val="NoSpacing"/>
      </w:pPr>
      <w:r w:rsidRPr="00E919A9">
        <w:t>(</w:t>
      </w:r>
      <w:r w:rsidR="00753F73">
        <w:t>Revision d</w:t>
      </w:r>
      <w:r w:rsidRPr="00E919A9">
        <w:t xml:space="preserve">ate: </w:t>
      </w:r>
      <w:r w:rsidR="00FB74BD">
        <w:t>10</w:t>
      </w:r>
      <w:r w:rsidRPr="00E919A9">
        <w:t>/</w:t>
      </w:r>
      <w:r w:rsidR="00FB74BD">
        <w:t>12</w:t>
      </w:r>
      <w:r w:rsidRPr="00E919A9">
        <w:t>/1</w:t>
      </w:r>
      <w:r w:rsidR="002945A6">
        <w:t>1</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ED4FAD" w:rsidP="00E9262A">
      <w:pPr>
        <w:pStyle w:val="NoSpacing"/>
        <w:numPr>
          <w:ilvl w:val="0"/>
          <w:numId w:val="4"/>
        </w:numPr>
        <w:rPr>
          <w:b/>
        </w:rPr>
      </w:pPr>
      <w:r w:rsidRPr="00CB4EB4">
        <w:rPr>
          <w:b/>
        </w:rPr>
        <w:t>General Requirements</w:t>
      </w:r>
    </w:p>
    <w:p w:rsidR="00ED4FAD" w:rsidRPr="00852D68" w:rsidRDefault="00ED4FAD" w:rsidP="00A73DD6">
      <w:pPr>
        <w:pStyle w:val="NoSpacing"/>
      </w:pPr>
    </w:p>
    <w:p w:rsidR="00433B3E" w:rsidRPr="00F52961" w:rsidRDefault="00F52961" w:rsidP="00F52961">
      <w:pPr>
        <w:numPr>
          <w:ilvl w:val="0"/>
          <w:numId w:val="54"/>
        </w:numPr>
        <w:spacing w:after="0" w:line="240" w:lineRule="auto"/>
        <w:rPr>
          <w:rFonts w:ascii="Arial" w:hAnsi="Arial" w:cs="Arial"/>
          <w:sz w:val="20"/>
          <w:szCs w:val="20"/>
        </w:rPr>
      </w:pPr>
      <w:r w:rsidRPr="00F52961">
        <w:rPr>
          <w:rFonts w:ascii="Arial" w:hAnsi="Arial" w:cs="Arial"/>
          <w:sz w:val="20"/>
          <w:szCs w:val="20"/>
        </w:rPr>
        <w:t>Overview</w:t>
      </w:r>
      <w:r w:rsidR="00352B48" w:rsidRPr="00F52961">
        <w:rPr>
          <w:rFonts w:ascii="Arial" w:hAnsi="Arial" w:cs="Arial"/>
          <w:sz w:val="20"/>
          <w:szCs w:val="20"/>
        </w:rPr>
        <w:t xml:space="preserve">.  </w:t>
      </w:r>
      <w:r w:rsidRPr="00F52961">
        <w:rPr>
          <w:rFonts w:ascii="Arial" w:hAnsi="Arial" w:cs="Arial"/>
          <w:sz w:val="20"/>
          <w:szCs w:val="20"/>
        </w:rPr>
        <w:t>A bonding and grounding system supplemental to the electrical power grounding system and devoted to the communications system</w:t>
      </w:r>
      <w:r>
        <w:rPr>
          <w:rFonts w:ascii="Arial" w:hAnsi="Arial" w:cs="Arial"/>
          <w:sz w:val="20"/>
          <w:szCs w:val="20"/>
        </w:rPr>
        <w:t xml:space="preserve"> infrastructure</w:t>
      </w:r>
      <w:r w:rsidRPr="00F52961">
        <w:rPr>
          <w:rFonts w:ascii="Arial" w:hAnsi="Arial" w:cs="Arial"/>
          <w:sz w:val="20"/>
          <w:szCs w:val="20"/>
        </w:rPr>
        <w:t xml:space="preserve"> is required in each campus building.  Its purpose is to protect personnel and equipment from unwanted electrical currents associated with the communications infrastructure and equipment.  </w:t>
      </w:r>
      <w:r w:rsidR="00433B3E">
        <w:t xml:space="preserve">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427BA2" w:rsidRDefault="0052439F" w:rsidP="00427BA2">
      <w:pPr>
        <w:numPr>
          <w:ilvl w:val="0"/>
          <w:numId w:val="55"/>
        </w:numPr>
        <w:autoSpaceDE w:val="0"/>
        <w:autoSpaceDN w:val="0"/>
        <w:adjustRightInd w:val="0"/>
        <w:spacing w:after="0" w:line="240" w:lineRule="auto"/>
        <w:rPr>
          <w:rFonts w:ascii="Arial" w:hAnsi="Arial" w:cs="Arial"/>
          <w:sz w:val="20"/>
          <w:szCs w:val="20"/>
        </w:rPr>
      </w:pPr>
      <w:r w:rsidRPr="00427BA2">
        <w:rPr>
          <w:rFonts w:ascii="Arial" w:hAnsi="Arial" w:cs="Arial"/>
          <w:sz w:val="20"/>
          <w:szCs w:val="20"/>
        </w:rPr>
        <w:t xml:space="preserve">Materials.  The materials used for this system are </w:t>
      </w:r>
      <w:r w:rsidR="00A838D9" w:rsidRPr="00427BA2">
        <w:rPr>
          <w:rFonts w:ascii="Arial" w:hAnsi="Arial" w:cs="Arial"/>
          <w:sz w:val="20"/>
          <w:szCs w:val="20"/>
        </w:rPr>
        <w:t>to be</w:t>
      </w:r>
      <w:r w:rsidRPr="00427BA2">
        <w:rPr>
          <w:rFonts w:ascii="Arial" w:hAnsi="Arial" w:cs="Arial"/>
          <w:sz w:val="20"/>
          <w:szCs w:val="20"/>
        </w:rPr>
        <w:t xml:space="preserve"> manufacturer and part number specific</w:t>
      </w:r>
      <w:r w:rsidR="00A838D9" w:rsidRPr="00427BA2">
        <w:rPr>
          <w:rFonts w:ascii="Arial" w:hAnsi="Arial" w:cs="Arial"/>
          <w:sz w:val="20"/>
          <w:szCs w:val="20"/>
        </w:rPr>
        <w:t xml:space="preserve"> </w:t>
      </w:r>
      <w:r w:rsidR="00427BA2" w:rsidRPr="00427BA2">
        <w:rPr>
          <w:rFonts w:ascii="Arial" w:hAnsi="Arial" w:cs="Arial"/>
          <w:sz w:val="20"/>
          <w:szCs w:val="20"/>
        </w:rPr>
        <w:t>with no substitutions, unless specified as accepting “or equal.” See Section 27 06 00 Schedules for Communications Systems for a list of materials acceptable for use in NC State University projects.</w:t>
      </w:r>
    </w:p>
    <w:p w:rsidR="009F1CE3" w:rsidRDefault="009F1CE3" w:rsidP="009F1CE3">
      <w:pPr>
        <w:autoSpaceDE w:val="0"/>
        <w:autoSpaceDN w:val="0"/>
        <w:adjustRightInd w:val="0"/>
        <w:spacing w:after="0" w:line="240" w:lineRule="auto"/>
        <w:ind w:left="720"/>
        <w:rPr>
          <w:rFonts w:ascii="Arial" w:hAnsi="Arial" w:cs="Arial"/>
          <w:sz w:val="20"/>
          <w:szCs w:val="20"/>
        </w:rPr>
      </w:pPr>
    </w:p>
    <w:p w:rsidR="009F1CE3" w:rsidRPr="009F1CE3" w:rsidRDefault="009F1CE3" w:rsidP="00427BA2">
      <w:pPr>
        <w:pStyle w:val="Header"/>
        <w:numPr>
          <w:ilvl w:val="0"/>
          <w:numId w:val="55"/>
        </w:numPr>
        <w:tabs>
          <w:tab w:val="clear" w:pos="4320"/>
          <w:tab w:val="clear" w:pos="8640"/>
        </w:tabs>
        <w:autoSpaceDE w:val="0"/>
        <w:autoSpaceDN w:val="0"/>
        <w:adjustRightInd w:val="0"/>
        <w:rPr>
          <w:rFonts w:ascii="Arial" w:hAnsi="Arial" w:cs="Arial"/>
        </w:rPr>
      </w:pPr>
      <w:r w:rsidRPr="009F1CE3">
        <w:rPr>
          <w:rFonts w:ascii="Arial" w:hAnsi="Arial" w:cs="Arial"/>
        </w:rPr>
        <w:t xml:space="preserve">Construction details.  </w:t>
      </w:r>
      <w:r w:rsidR="00FB74BD">
        <w:rPr>
          <w:rFonts w:ascii="Arial" w:hAnsi="Arial" w:cs="Arial"/>
        </w:rPr>
        <w:t>A d</w:t>
      </w:r>
      <w:r w:rsidRPr="009F1CE3">
        <w:rPr>
          <w:rFonts w:ascii="Arial" w:hAnsi="Arial" w:cs="Arial"/>
        </w:rPr>
        <w:t xml:space="preserve">etail drawing describing typical the typical bonding and grounding scheme to use in BDF/IDFs </w:t>
      </w:r>
      <w:r w:rsidR="00FB74BD">
        <w:rPr>
          <w:rFonts w:ascii="Arial" w:hAnsi="Arial" w:cs="Arial"/>
        </w:rPr>
        <w:t>is</w:t>
      </w:r>
      <w:r w:rsidRPr="009F1CE3">
        <w:rPr>
          <w:rFonts w:ascii="Arial" w:hAnsi="Arial" w:cs="Arial"/>
        </w:rPr>
        <w:t xml:space="preserve"> available for download and modification by designers at the NCSU ComTech website. </w:t>
      </w:r>
    </w:p>
    <w:p w:rsidR="007F5EE3" w:rsidRDefault="007F5EE3" w:rsidP="00B8758D">
      <w:pPr>
        <w:numPr>
          <w:ilvl w:val="0"/>
          <w:numId w:val="55"/>
        </w:numPr>
        <w:spacing w:before="240" w:after="0" w:line="240" w:lineRule="auto"/>
        <w:rPr>
          <w:rFonts w:ascii="Arial" w:hAnsi="Arial" w:cs="Arial"/>
          <w:sz w:val="20"/>
          <w:szCs w:val="20"/>
        </w:rPr>
      </w:pPr>
      <w:r w:rsidRPr="007F5EE3">
        <w:rPr>
          <w:rFonts w:ascii="Arial" w:hAnsi="Arial" w:cs="Arial"/>
          <w:sz w:val="20"/>
          <w:szCs w:val="20"/>
        </w:rPr>
        <w:t>Standards.  All work shall be in accordance with the latest versions of the BICSI TDMM</w:t>
      </w:r>
      <w:r>
        <w:rPr>
          <w:rFonts w:ascii="Arial" w:hAnsi="Arial" w:cs="Arial"/>
          <w:sz w:val="20"/>
          <w:szCs w:val="20"/>
        </w:rPr>
        <w:t xml:space="preserve"> </w:t>
      </w:r>
      <w:r w:rsidRPr="007F5EE3">
        <w:rPr>
          <w:rFonts w:ascii="Arial" w:hAnsi="Arial" w:cs="Arial"/>
          <w:sz w:val="20"/>
          <w:szCs w:val="20"/>
        </w:rPr>
        <w:t>manual</w:t>
      </w:r>
      <w:r w:rsidR="00B8758D">
        <w:rPr>
          <w:rFonts w:ascii="Arial" w:hAnsi="Arial" w:cs="Arial"/>
          <w:sz w:val="20"/>
          <w:szCs w:val="20"/>
        </w:rPr>
        <w:t xml:space="preserve"> and</w:t>
      </w:r>
      <w:r w:rsidRPr="007F5EE3">
        <w:rPr>
          <w:rFonts w:ascii="Arial" w:hAnsi="Arial" w:cs="Arial"/>
          <w:sz w:val="20"/>
          <w:szCs w:val="20"/>
        </w:rPr>
        <w:t xml:space="preserve"> TIA-</w:t>
      </w:r>
      <w:r w:rsidR="00B8758D">
        <w:rPr>
          <w:rFonts w:ascii="Arial" w:hAnsi="Arial" w:cs="Arial"/>
          <w:sz w:val="20"/>
          <w:szCs w:val="20"/>
        </w:rPr>
        <w:t>607</w:t>
      </w:r>
      <w:r w:rsidRPr="007F5EE3">
        <w:rPr>
          <w:rFonts w:ascii="Arial" w:hAnsi="Arial" w:cs="Arial"/>
          <w:sz w:val="20"/>
          <w:szCs w:val="20"/>
        </w:rPr>
        <w:t xml:space="preserve"> standard, and with manufacturer’s recommendations</w:t>
      </w:r>
      <w:r w:rsidR="00B8758D">
        <w:rPr>
          <w:rFonts w:ascii="Arial" w:hAnsi="Arial" w:cs="Arial"/>
          <w:sz w:val="20"/>
          <w:szCs w:val="20"/>
        </w:rPr>
        <w:t>.  All work shall comply with all applicable NFPA and NEC requirements.</w:t>
      </w:r>
    </w:p>
    <w:p w:rsidR="00EC5081" w:rsidRPr="007F5EE3" w:rsidRDefault="00EC5081" w:rsidP="00B8758D">
      <w:pPr>
        <w:numPr>
          <w:ilvl w:val="0"/>
          <w:numId w:val="55"/>
        </w:numPr>
        <w:spacing w:before="240" w:after="0" w:line="240" w:lineRule="auto"/>
        <w:rPr>
          <w:rFonts w:ascii="Arial" w:hAnsi="Arial" w:cs="Arial"/>
          <w:sz w:val="20"/>
          <w:szCs w:val="20"/>
        </w:rPr>
      </w:pPr>
      <w:r>
        <w:rPr>
          <w:rFonts w:ascii="Arial" w:hAnsi="Arial" w:cs="Arial"/>
          <w:sz w:val="20"/>
          <w:szCs w:val="20"/>
        </w:rPr>
        <w:t xml:space="preserve">System components.  The communications grounding system within a building will consist of the following components. </w:t>
      </w:r>
    </w:p>
    <w:p w:rsidR="00376250" w:rsidRDefault="00376250" w:rsidP="00427BA2">
      <w:pPr>
        <w:pStyle w:val="NoSpacing"/>
        <w:ind w:left="720"/>
      </w:pPr>
    </w:p>
    <w:p w:rsidR="00A32AA5" w:rsidRPr="00A32AA5" w:rsidRDefault="00624AE2" w:rsidP="00A32AA5">
      <w:pPr>
        <w:numPr>
          <w:ilvl w:val="0"/>
          <w:numId w:val="13"/>
        </w:numPr>
        <w:tabs>
          <w:tab w:val="clear" w:pos="360"/>
          <w:tab w:val="num" w:pos="1800"/>
        </w:tabs>
        <w:spacing w:after="0" w:line="240" w:lineRule="auto"/>
        <w:ind w:left="1800"/>
        <w:rPr>
          <w:rFonts w:ascii="Arial" w:hAnsi="Arial" w:cs="Arial"/>
          <w:sz w:val="20"/>
          <w:szCs w:val="20"/>
        </w:rPr>
      </w:pPr>
      <w:r w:rsidRPr="00D903B8">
        <w:rPr>
          <w:rFonts w:ascii="Arial" w:hAnsi="Arial" w:cs="Arial"/>
          <w:sz w:val="20"/>
          <w:szCs w:val="20"/>
        </w:rPr>
        <w:t xml:space="preserve">Bonding </w:t>
      </w:r>
      <w:r w:rsidR="00244D14">
        <w:rPr>
          <w:rFonts w:ascii="Arial" w:hAnsi="Arial" w:cs="Arial"/>
          <w:sz w:val="20"/>
          <w:szCs w:val="20"/>
        </w:rPr>
        <w:t>C</w:t>
      </w:r>
      <w:r w:rsidRPr="00D903B8">
        <w:rPr>
          <w:rFonts w:ascii="Arial" w:hAnsi="Arial" w:cs="Arial"/>
          <w:sz w:val="20"/>
          <w:szCs w:val="20"/>
        </w:rPr>
        <w:t xml:space="preserve">onductor for </w:t>
      </w:r>
      <w:r w:rsidR="00244D14">
        <w:rPr>
          <w:rFonts w:ascii="Arial" w:hAnsi="Arial" w:cs="Arial"/>
          <w:sz w:val="20"/>
          <w:szCs w:val="20"/>
        </w:rPr>
        <w:t>T</w:t>
      </w:r>
      <w:r w:rsidRPr="00D903B8">
        <w:rPr>
          <w:rFonts w:ascii="Arial" w:hAnsi="Arial" w:cs="Arial"/>
          <w:sz w:val="20"/>
          <w:szCs w:val="20"/>
        </w:rPr>
        <w:t>elecommunications</w:t>
      </w:r>
      <w:r w:rsidR="00D903B8" w:rsidRPr="00D903B8">
        <w:rPr>
          <w:rFonts w:ascii="Arial" w:hAnsi="Arial" w:cs="Arial"/>
          <w:sz w:val="20"/>
          <w:szCs w:val="20"/>
        </w:rPr>
        <w:t xml:space="preserve"> (BCT)</w:t>
      </w:r>
      <w:r w:rsidRPr="00D903B8">
        <w:rPr>
          <w:rFonts w:ascii="Arial" w:hAnsi="Arial" w:cs="Arial"/>
          <w:sz w:val="20"/>
          <w:szCs w:val="20"/>
        </w:rPr>
        <w:t xml:space="preserve">.  This conductor </w:t>
      </w:r>
      <w:r w:rsidR="00D903B8">
        <w:rPr>
          <w:rFonts w:ascii="Arial" w:hAnsi="Arial" w:cs="Arial"/>
          <w:sz w:val="20"/>
          <w:szCs w:val="20"/>
        </w:rPr>
        <w:t>bonds</w:t>
      </w:r>
      <w:r w:rsidRPr="00D903B8">
        <w:rPr>
          <w:rFonts w:ascii="Arial" w:hAnsi="Arial" w:cs="Arial"/>
          <w:sz w:val="20"/>
          <w:szCs w:val="20"/>
        </w:rPr>
        <w:t xml:space="preserve"> the </w:t>
      </w:r>
      <w:r w:rsidR="007C3558" w:rsidRPr="00D903B8">
        <w:rPr>
          <w:rFonts w:ascii="Arial" w:hAnsi="Arial" w:cs="Arial"/>
          <w:sz w:val="20"/>
          <w:szCs w:val="20"/>
        </w:rPr>
        <w:t>c</w:t>
      </w:r>
      <w:r w:rsidRPr="00D903B8">
        <w:rPr>
          <w:rFonts w:ascii="Arial" w:hAnsi="Arial" w:cs="Arial"/>
          <w:sz w:val="20"/>
          <w:szCs w:val="20"/>
        </w:rPr>
        <w:t xml:space="preserve">ommunications grounding system to the main electrical </w:t>
      </w:r>
      <w:r w:rsidR="00D903B8">
        <w:rPr>
          <w:rFonts w:ascii="Arial" w:hAnsi="Arial" w:cs="Arial"/>
          <w:sz w:val="20"/>
          <w:szCs w:val="20"/>
        </w:rPr>
        <w:t>service (</w:t>
      </w:r>
      <w:r w:rsidRPr="00D903B8">
        <w:rPr>
          <w:rFonts w:ascii="Arial" w:hAnsi="Arial" w:cs="Arial"/>
          <w:sz w:val="20"/>
          <w:szCs w:val="20"/>
        </w:rPr>
        <w:t>power</w:t>
      </w:r>
      <w:r w:rsidR="00D903B8">
        <w:rPr>
          <w:rFonts w:ascii="Arial" w:hAnsi="Arial" w:cs="Arial"/>
          <w:sz w:val="20"/>
          <w:szCs w:val="20"/>
        </w:rPr>
        <w:t>)</w:t>
      </w:r>
      <w:r w:rsidRPr="00D903B8">
        <w:rPr>
          <w:rFonts w:ascii="Arial" w:hAnsi="Arial" w:cs="Arial"/>
          <w:sz w:val="20"/>
          <w:szCs w:val="20"/>
        </w:rPr>
        <w:t xml:space="preserve"> grounding system.</w:t>
      </w:r>
      <w:r w:rsidR="007C3558" w:rsidRPr="00D903B8">
        <w:rPr>
          <w:rFonts w:ascii="Arial" w:hAnsi="Arial" w:cs="Arial"/>
          <w:sz w:val="20"/>
          <w:szCs w:val="20"/>
        </w:rPr>
        <w:t xml:space="preserve">  It originates in the BDF and terminates at the electrical service ground for the building.  </w:t>
      </w:r>
      <w:r w:rsidR="000016A4">
        <w:rPr>
          <w:rFonts w:ascii="Arial" w:hAnsi="Arial" w:cs="Arial"/>
          <w:sz w:val="20"/>
          <w:szCs w:val="20"/>
        </w:rPr>
        <w:t xml:space="preserve">It should be installed and terminated by the electrical contractor.  </w:t>
      </w:r>
      <w:r w:rsidR="00D903B8" w:rsidRPr="00D903B8">
        <w:rPr>
          <w:rFonts w:ascii="Arial" w:hAnsi="Arial" w:cs="Arial"/>
          <w:sz w:val="20"/>
        </w:rPr>
        <w:t>The BCT shall be a continuous copper conductor sized according to length</w:t>
      </w:r>
      <w:r w:rsidR="00D903B8" w:rsidRPr="00A32AA5">
        <w:rPr>
          <w:rFonts w:ascii="Arial" w:hAnsi="Arial" w:cs="Arial"/>
          <w:sz w:val="20"/>
          <w:szCs w:val="20"/>
        </w:rPr>
        <w:t>.</w:t>
      </w:r>
      <w:r w:rsidR="00A32AA5" w:rsidRPr="00A32AA5">
        <w:rPr>
          <w:rFonts w:ascii="Arial" w:hAnsi="Arial" w:cs="Arial"/>
          <w:sz w:val="20"/>
          <w:szCs w:val="20"/>
        </w:rPr>
        <w:t xml:space="preserve">  This conductor shall be run in EMT conduit from the BDF directly to the main electrical room</w:t>
      </w:r>
      <w:r w:rsidR="0092021D">
        <w:rPr>
          <w:rFonts w:ascii="Arial" w:hAnsi="Arial" w:cs="Arial"/>
          <w:sz w:val="20"/>
          <w:szCs w:val="20"/>
        </w:rPr>
        <w:t xml:space="preserve"> and bonded to main electrical ground (not to steel or water pipes)</w:t>
      </w:r>
      <w:r w:rsidR="00A32AA5" w:rsidRPr="00A32AA5">
        <w:rPr>
          <w:rFonts w:ascii="Arial" w:hAnsi="Arial" w:cs="Arial"/>
          <w:sz w:val="20"/>
          <w:szCs w:val="20"/>
        </w:rPr>
        <w:t>.</w:t>
      </w:r>
      <w:r w:rsidR="00D851D8">
        <w:rPr>
          <w:rFonts w:ascii="Arial" w:hAnsi="Arial" w:cs="Arial"/>
          <w:sz w:val="20"/>
          <w:szCs w:val="20"/>
        </w:rPr>
        <w:t xml:space="preserve">  The size of the BCT should be</w:t>
      </w:r>
      <w:r w:rsidR="00DA0D72">
        <w:rPr>
          <w:rFonts w:ascii="Arial" w:hAnsi="Arial" w:cs="Arial"/>
          <w:sz w:val="20"/>
          <w:szCs w:val="20"/>
        </w:rPr>
        <w:t xml:space="preserve"> based on the following table:</w:t>
      </w:r>
    </w:p>
    <w:p w:rsidR="00D00D8B" w:rsidRDefault="00D00D8B" w:rsidP="00D00D8B">
      <w:pPr>
        <w:spacing w:after="0" w:line="240" w:lineRule="auto"/>
        <w:ind w:left="1800"/>
        <w:rPr>
          <w:rFonts w:ascii="Arial" w:hAnsi="Arial" w:cs="Arial"/>
          <w:sz w:val="20"/>
          <w:szCs w:val="20"/>
        </w:rPr>
      </w:pPr>
    </w:p>
    <w:tbl>
      <w:tblPr>
        <w:tblStyle w:val="TableGrid"/>
        <w:tblW w:w="5652" w:type="dxa"/>
        <w:tblInd w:w="2376" w:type="dxa"/>
        <w:tblLook w:val="04A0"/>
      </w:tblPr>
      <w:tblGrid>
        <w:gridCol w:w="3888"/>
        <w:gridCol w:w="1764"/>
      </w:tblGrid>
      <w:tr w:rsidR="00D00D8B" w:rsidTr="008B0203">
        <w:tc>
          <w:tcPr>
            <w:tcW w:w="3888" w:type="dxa"/>
          </w:tcPr>
          <w:p w:rsidR="00D00D8B" w:rsidRDefault="00D00D8B" w:rsidP="00D00D8B">
            <w:pPr>
              <w:spacing w:after="0" w:line="240" w:lineRule="auto"/>
              <w:rPr>
                <w:rFonts w:ascii="Arial" w:hAnsi="Arial" w:cs="Arial"/>
                <w:sz w:val="20"/>
                <w:szCs w:val="20"/>
              </w:rPr>
            </w:pPr>
            <w:r>
              <w:rPr>
                <w:rFonts w:ascii="Arial" w:hAnsi="Arial" w:cs="Arial"/>
                <w:sz w:val="20"/>
                <w:szCs w:val="20"/>
              </w:rPr>
              <w:t>BCT Length (LF)</w:t>
            </w:r>
          </w:p>
        </w:tc>
        <w:tc>
          <w:tcPr>
            <w:tcW w:w="1764" w:type="dxa"/>
          </w:tcPr>
          <w:p w:rsidR="00D00D8B" w:rsidRDefault="00D00D8B" w:rsidP="00D00D8B">
            <w:pPr>
              <w:spacing w:after="0" w:line="240" w:lineRule="auto"/>
              <w:rPr>
                <w:rFonts w:ascii="Arial" w:hAnsi="Arial" w:cs="Arial"/>
                <w:sz w:val="20"/>
                <w:szCs w:val="20"/>
              </w:rPr>
            </w:pPr>
            <w:r>
              <w:rPr>
                <w:rFonts w:ascii="Arial" w:hAnsi="Arial" w:cs="Arial"/>
                <w:sz w:val="20"/>
                <w:szCs w:val="20"/>
              </w:rPr>
              <w:t>BCT Size (AWG)</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Less than 13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6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14-20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4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21-26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3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27-33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2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34-41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1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42-52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1/0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53-66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2/0 </w:t>
            </w:r>
          </w:p>
        </w:tc>
      </w:tr>
      <w:tr w:rsidR="00D00D8B" w:rsidTr="008B0203">
        <w:tc>
          <w:tcPr>
            <w:tcW w:w="3888"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Greater than 66 </w:t>
            </w:r>
          </w:p>
        </w:tc>
        <w:tc>
          <w:tcPr>
            <w:tcW w:w="1764" w:type="dxa"/>
          </w:tcPr>
          <w:p w:rsidR="00D00D8B" w:rsidRPr="003406C2" w:rsidRDefault="00D00D8B" w:rsidP="008B0203">
            <w:pPr>
              <w:pStyle w:val="Default"/>
              <w:jc w:val="both"/>
              <w:rPr>
                <w:rFonts w:ascii="Arial" w:hAnsi="Arial" w:cs="Arial"/>
                <w:sz w:val="20"/>
                <w:szCs w:val="20"/>
              </w:rPr>
            </w:pPr>
            <w:r w:rsidRPr="003406C2">
              <w:rPr>
                <w:rFonts w:ascii="Arial" w:hAnsi="Arial" w:cs="Arial"/>
                <w:sz w:val="20"/>
                <w:szCs w:val="20"/>
              </w:rPr>
              <w:t xml:space="preserve">3/0 </w:t>
            </w:r>
          </w:p>
        </w:tc>
      </w:tr>
    </w:tbl>
    <w:p w:rsidR="00D00D8B" w:rsidRDefault="00D00D8B" w:rsidP="00A32AA5">
      <w:pPr>
        <w:spacing w:after="0" w:line="240" w:lineRule="auto"/>
        <w:ind w:left="1440"/>
        <w:rPr>
          <w:rFonts w:ascii="Arial" w:hAnsi="Arial" w:cs="Arial"/>
          <w:sz w:val="20"/>
          <w:szCs w:val="20"/>
        </w:rPr>
      </w:pPr>
    </w:p>
    <w:p w:rsidR="00D00D8B" w:rsidRDefault="00D00D8B" w:rsidP="00A32AA5">
      <w:pPr>
        <w:spacing w:after="0" w:line="240" w:lineRule="auto"/>
        <w:ind w:left="1440"/>
        <w:rPr>
          <w:rFonts w:ascii="Arial" w:hAnsi="Arial" w:cs="Arial"/>
          <w:sz w:val="20"/>
          <w:szCs w:val="20"/>
        </w:rPr>
      </w:pPr>
    </w:p>
    <w:p w:rsidR="00624AE2" w:rsidRDefault="00624AE2" w:rsidP="00A32AA5">
      <w:pPr>
        <w:numPr>
          <w:ilvl w:val="0"/>
          <w:numId w:val="13"/>
        </w:numPr>
        <w:tabs>
          <w:tab w:val="clear" w:pos="360"/>
          <w:tab w:val="num" w:pos="1800"/>
        </w:tabs>
        <w:spacing w:after="0" w:line="240" w:lineRule="auto"/>
        <w:ind w:left="1800"/>
        <w:rPr>
          <w:rFonts w:ascii="Arial" w:hAnsi="Arial" w:cs="Arial"/>
          <w:sz w:val="20"/>
          <w:szCs w:val="20"/>
        </w:rPr>
      </w:pPr>
      <w:r w:rsidRPr="00694825">
        <w:rPr>
          <w:rFonts w:ascii="Arial" w:hAnsi="Arial" w:cs="Arial"/>
          <w:sz w:val="20"/>
          <w:szCs w:val="20"/>
        </w:rPr>
        <w:lastRenderedPageBreak/>
        <w:t xml:space="preserve">Telecommunications </w:t>
      </w:r>
      <w:r w:rsidR="00244D14">
        <w:rPr>
          <w:rFonts w:ascii="Arial" w:hAnsi="Arial" w:cs="Arial"/>
          <w:sz w:val="20"/>
          <w:szCs w:val="20"/>
        </w:rPr>
        <w:t>M</w:t>
      </w:r>
      <w:r w:rsidRPr="00694825">
        <w:rPr>
          <w:rFonts w:ascii="Arial" w:hAnsi="Arial" w:cs="Arial"/>
          <w:sz w:val="20"/>
          <w:szCs w:val="20"/>
        </w:rPr>
        <w:t xml:space="preserve">ain </w:t>
      </w:r>
      <w:r w:rsidR="00244D14">
        <w:rPr>
          <w:rFonts w:ascii="Arial" w:hAnsi="Arial" w:cs="Arial"/>
          <w:sz w:val="20"/>
          <w:szCs w:val="20"/>
        </w:rPr>
        <w:t>G</w:t>
      </w:r>
      <w:r w:rsidRPr="00694825">
        <w:rPr>
          <w:rFonts w:ascii="Arial" w:hAnsi="Arial" w:cs="Arial"/>
          <w:sz w:val="20"/>
          <w:szCs w:val="20"/>
        </w:rPr>
        <w:t xml:space="preserve">rounding </w:t>
      </w:r>
      <w:proofErr w:type="spellStart"/>
      <w:r w:rsidR="00244D14">
        <w:rPr>
          <w:rFonts w:ascii="Arial" w:hAnsi="Arial" w:cs="Arial"/>
          <w:sz w:val="20"/>
          <w:szCs w:val="20"/>
        </w:rPr>
        <w:t>B</w:t>
      </w:r>
      <w:r w:rsidRPr="00694825">
        <w:rPr>
          <w:rFonts w:ascii="Arial" w:hAnsi="Arial" w:cs="Arial"/>
          <w:sz w:val="20"/>
          <w:szCs w:val="20"/>
        </w:rPr>
        <w:t>usbar</w:t>
      </w:r>
      <w:proofErr w:type="spellEnd"/>
      <w:r w:rsidRPr="00694825">
        <w:rPr>
          <w:rFonts w:ascii="Arial" w:hAnsi="Arial" w:cs="Arial"/>
          <w:sz w:val="20"/>
          <w:szCs w:val="20"/>
        </w:rPr>
        <w:t xml:space="preserve"> (TMGB).  This bar is located in the BDF and serves as the hub for the communications grounding system in the entire building.  </w:t>
      </w:r>
      <w:r w:rsidR="00244D14">
        <w:rPr>
          <w:rFonts w:ascii="Arial" w:hAnsi="Arial" w:cs="Arial"/>
          <w:sz w:val="20"/>
          <w:szCs w:val="20"/>
        </w:rPr>
        <w:t>It should be installed onto the wall mounted plywood at 24” AFF.  The bar should be electrically insulated from its mounting hardwar</w:t>
      </w:r>
      <w:r w:rsidR="008A5B6A">
        <w:rPr>
          <w:rFonts w:ascii="Arial" w:hAnsi="Arial" w:cs="Arial"/>
          <w:sz w:val="20"/>
          <w:szCs w:val="20"/>
        </w:rPr>
        <w:t>e</w:t>
      </w:r>
      <w:r w:rsidR="00244D14">
        <w:rPr>
          <w:rFonts w:ascii="Arial" w:hAnsi="Arial" w:cs="Arial"/>
          <w:sz w:val="20"/>
          <w:szCs w:val="20"/>
        </w:rPr>
        <w:t>.</w:t>
      </w:r>
    </w:p>
    <w:p w:rsidR="00433B45" w:rsidRPr="00244D14" w:rsidRDefault="00433B45" w:rsidP="00244D14">
      <w:pPr>
        <w:spacing w:after="0" w:line="240" w:lineRule="auto"/>
        <w:rPr>
          <w:rFonts w:ascii="Arial" w:hAnsi="Arial" w:cs="Arial"/>
          <w:sz w:val="20"/>
          <w:szCs w:val="20"/>
        </w:rPr>
      </w:pPr>
    </w:p>
    <w:p w:rsidR="008A5B6A" w:rsidRDefault="00624AE2" w:rsidP="008A5B6A">
      <w:pPr>
        <w:numPr>
          <w:ilvl w:val="0"/>
          <w:numId w:val="13"/>
        </w:numPr>
        <w:tabs>
          <w:tab w:val="clear" w:pos="360"/>
          <w:tab w:val="num" w:pos="1800"/>
        </w:tabs>
        <w:spacing w:after="0" w:line="240" w:lineRule="auto"/>
        <w:ind w:left="1800"/>
        <w:rPr>
          <w:rFonts w:ascii="Arial" w:hAnsi="Arial" w:cs="Arial"/>
          <w:sz w:val="20"/>
          <w:szCs w:val="20"/>
        </w:rPr>
      </w:pPr>
      <w:r w:rsidRPr="00694825">
        <w:rPr>
          <w:rFonts w:ascii="Arial" w:hAnsi="Arial" w:cs="Arial"/>
          <w:sz w:val="20"/>
          <w:szCs w:val="20"/>
        </w:rPr>
        <w:t xml:space="preserve">Telecommunications </w:t>
      </w:r>
      <w:r w:rsidR="005B27BF">
        <w:rPr>
          <w:rFonts w:ascii="Arial" w:hAnsi="Arial" w:cs="Arial"/>
          <w:sz w:val="20"/>
          <w:szCs w:val="20"/>
        </w:rPr>
        <w:t>G</w:t>
      </w:r>
      <w:r w:rsidRPr="00694825">
        <w:rPr>
          <w:rFonts w:ascii="Arial" w:hAnsi="Arial" w:cs="Arial"/>
          <w:sz w:val="20"/>
          <w:szCs w:val="20"/>
        </w:rPr>
        <w:t xml:space="preserve">rounding </w:t>
      </w:r>
      <w:proofErr w:type="spellStart"/>
      <w:r w:rsidR="005B27BF">
        <w:rPr>
          <w:rFonts w:ascii="Arial" w:hAnsi="Arial" w:cs="Arial"/>
          <w:sz w:val="20"/>
          <w:szCs w:val="20"/>
        </w:rPr>
        <w:t>B</w:t>
      </w:r>
      <w:r w:rsidRPr="00694825">
        <w:rPr>
          <w:rFonts w:ascii="Arial" w:hAnsi="Arial" w:cs="Arial"/>
          <w:sz w:val="20"/>
          <w:szCs w:val="20"/>
        </w:rPr>
        <w:t>usbar</w:t>
      </w:r>
      <w:proofErr w:type="spellEnd"/>
      <w:r w:rsidRPr="00694825">
        <w:rPr>
          <w:rFonts w:ascii="Arial" w:hAnsi="Arial" w:cs="Arial"/>
          <w:sz w:val="20"/>
          <w:szCs w:val="20"/>
        </w:rPr>
        <w:t xml:space="preserve"> (TGB).  This bar is located in each IDF and serves as the hub for the communications grounding system for that room.</w:t>
      </w:r>
      <w:r w:rsidR="008A5B6A">
        <w:rPr>
          <w:rFonts w:ascii="Arial" w:hAnsi="Arial" w:cs="Arial"/>
          <w:sz w:val="20"/>
          <w:szCs w:val="20"/>
        </w:rPr>
        <w:t xml:space="preserve"> </w:t>
      </w:r>
      <w:r w:rsidRPr="00694825">
        <w:rPr>
          <w:rFonts w:ascii="Arial" w:hAnsi="Arial" w:cs="Arial"/>
          <w:sz w:val="20"/>
          <w:szCs w:val="20"/>
        </w:rPr>
        <w:t xml:space="preserve"> </w:t>
      </w:r>
      <w:r w:rsidR="008A5B6A">
        <w:rPr>
          <w:rFonts w:ascii="Arial" w:hAnsi="Arial" w:cs="Arial"/>
          <w:sz w:val="20"/>
          <w:szCs w:val="20"/>
        </w:rPr>
        <w:t>It should be installed onto the wall mounted plywood at 24” AFF.  The bar should be electrically insulated from its mounting hardware.</w:t>
      </w:r>
    </w:p>
    <w:p w:rsidR="00624AE2" w:rsidRPr="00694825" w:rsidRDefault="00624AE2" w:rsidP="00433B45">
      <w:pPr>
        <w:spacing w:after="0" w:line="240" w:lineRule="auto"/>
        <w:ind w:left="1440"/>
        <w:rPr>
          <w:rFonts w:ascii="Arial" w:hAnsi="Arial" w:cs="Arial"/>
          <w:sz w:val="20"/>
          <w:szCs w:val="20"/>
        </w:rPr>
      </w:pPr>
      <w:r w:rsidRPr="00694825">
        <w:rPr>
          <w:rFonts w:ascii="Arial" w:hAnsi="Arial" w:cs="Arial"/>
          <w:sz w:val="20"/>
          <w:szCs w:val="20"/>
        </w:rPr>
        <w:t xml:space="preserve"> </w:t>
      </w:r>
    </w:p>
    <w:p w:rsidR="002504EB" w:rsidRPr="00570714" w:rsidRDefault="00624AE2" w:rsidP="002504EB">
      <w:pPr>
        <w:numPr>
          <w:ilvl w:val="0"/>
          <w:numId w:val="13"/>
        </w:numPr>
        <w:tabs>
          <w:tab w:val="clear" w:pos="360"/>
          <w:tab w:val="num" w:pos="1800"/>
        </w:tabs>
        <w:spacing w:after="0" w:line="240" w:lineRule="auto"/>
        <w:ind w:left="1800"/>
        <w:rPr>
          <w:rFonts w:ascii="Arial" w:hAnsi="Arial" w:cs="Arial"/>
          <w:sz w:val="20"/>
          <w:szCs w:val="20"/>
        </w:rPr>
      </w:pPr>
      <w:r w:rsidRPr="00191781">
        <w:rPr>
          <w:rFonts w:ascii="Arial" w:hAnsi="Arial" w:cs="Arial"/>
          <w:sz w:val="20"/>
          <w:szCs w:val="20"/>
        </w:rPr>
        <w:t xml:space="preserve">Telecommunications </w:t>
      </w:r>
      <w:r w:rsidR="00F84274">
        <w:rPr>
          <w:rFonts w:ascii="Arial" w:hAnsi="Arial" w:cs="Arial"/>
          <w:sz w:val="20"/>
          <w:szCs w:val="20"/>
        </w:rPr>
        <w:t>B</w:t>
      </w:r>
      <w:r w:rsidRPr="00191781">
        <w:rPr>
          <w:rFonts w:ascii="Arial" w:hAnsi="Arial" w:cs="Arial"/>
          <w:sz w:val="20"/>
          <w:szCs w:val="20"/>
        </w:rPr>
        <w:t xml:space="preserve">onding </w:t>
      </w:r>
      <w:r w:rsidR="00F84274">
        <w:rPr>
          <w:rFonts w:ascii="Arial" w:hAnsi="Arial" w:cs="Arial"/>
          <w:sz w:val="20"/>
          <w:szCs w:val="20"/>
        </w:rPr>
        <w:t>B</w:t>
      </w:r>
      <w:r w:rsidRPr="00191781">
        <w:rPr>
          <w:rFonts w:ascii="Arial" w:hAnsi="Arial" w:cs="Arial"/>
          <w:sz w:val="20"/>
          <w:szCs w:val="20"/>
        </w:rPr>
        <w:t>ackbone (TBB).  This conductor</w:t>
      </w:r>
      <w:r w:rsidR="002504EB" w:rsidRPr="00191781">
        <w:rPr>
          <w:rFonts w:ascii="Arial" w:hAnsi="Arial" w:cs="Arial"/>
          <w:sz w:val="20"/>
          <w:szCs w:val="20"/>
        </w:rPr>
        <w:t xml:space="preserve"> bonds</w:t>
      </w:r>
      <w:r w:rsidRPr="00191781">
        <w:rPr>
          <w:rFonts w:ascii="Arial" w:hAnsi="Arial" w:cs="Arial"/>
          <w:sz w:val="20"/>
          <w:szCs w:val="20"/>
        </w:rPr>
        <w:t xml:space="preserve"> the TGB in </w:t>
      </w:r>
      <w:r w:rsidR="0092021D">
        <w:rPr>
          <w:rFonts w:ascii="Arial" w:hAnsi="Arial" w:cs="Arial"/>
          <w:sz w:val="20"/>
          <w:szCs w:val="20"/>
        </w:rPr>
        <w:t>all</w:t>
      </w:r>
      <w:r w:rsidRPr="00191781">
        <w:rPr>
          <w:rFonts w:ascii="Arial" w:hAnsi="Arial" w:cs="Arial"/>
          <w:sz w:val="20"/>
          <w:szCs w:val="20"/>
        </w:rPr>
        <w:t xml:space="preserve"> IDF</w:t>
      </w:r>
      <w:r w:rsidR="0092021D">
        <w:rPr>
          <w:rFonts w:ascii="Arial" w:hAnsi="Arial" w:cs="Arial"/>
          <w:sz w:val="20"/>
          <w:szCs w:val="20"/>
        </w:rPr>
        <w:t>s</w:t>
      </w:r>
      <w:r w:rsidRPr="00191781">
        <w:rPr>
          <w:rFonts w:ascii="Arial" w:hAnsi="Arial" w:cs="Arial"/>
          <w:sz w:val="20"/>
          <w:szCs w:val="20"/>
        </w:rPr>
        <w:t xml:space="preserve"> back to the TMGB in the BDF.</w:t>
      </w:r>
      <w:r w:rsidR="00191781" w:rsidRPr="00191781">
        <w:rPr>
          <w:rFonts w:ascii="Arial" w:hAnsi="Arial" w:cs="Arial"/>
          <w:sz w:val="20"/>
          <w:szCs w:val="20"/>
        </w:rPr>
        <w:t xml:space="preserve">  </w:t>
      </w:r>
      <w:r w:rsidR="00191781">
        <w:rPr>
          <w:rFonts w:ascii="Arial" w:hAnsi="Arial" w:cs="Arial"/>
          <w:sz w:val="20"/>
          <w:szCs w:val="20"/>
        </w:rPr>
        <w:t>It</w:t>
      </w:r>
      <w:r w:rsidR="00FF471E" w:rsidRPr="00191781">
        <w:rPr>
          <w:rFonts w:ascii="Arial" w:hAnsi="Arial" w:cs="Arial"/>
          <w:sz w:val="20"/>
          <w:szCs w:val="20"/>
        </w:rPr>
        <w:t xml:space="preserve"> should be routed inside the riser conduit system along side the telecommunications riser cables.</w:t>
      </w:r>
      <w:r w:rsidR="0092021D" w:rsidRPr="0092021D">
        <w:rPr>
          <w:rFonts w:ascii="Arial" w:hAnsi="Arial" w:cs="Arial"/>
          <w:sz w:val="20"/>
        </w:rPr>
        <w:t xml:space="preserve"> </w:t>
      </w:r>
      <w:r w:rsidR="0092021D">
        <w:rPr>
          <w:rFonts w:ascii="Arial" w:hAnsi="Arial" w:cs="Arial"/>
          <w:sz w:val="20"/>
        </w:rPr>
        <w:t xml:space="preserve"> </w:t>
      </w:r>
      <w:r w:rsidR="0092021D" w:rsidRPr="00C63603">
        <w:rPr>
          <w:rFonts w:ascii="Arial" w:hAnsi="Arial" w:cs="Arial"/>
          <w:sz w:val="20"/>
        </w:rPr>
        <w:t xml:space="preserve">The TBB </w:t>
      </w:r>
      <w:r w:rsidR="000F1C38">
        <w:rPr>
          <w:rFonts w:ascii="Arial" w:hAnsi="Arial" w:cs="Arial"/>
          <w:sz w:val="20"/>
        </w:rPr>
        <w:t xml:space="preserve">will be insulated and </w:t>
      </w:r>
      <w:r w:rsidR="0092021D" w:rsidRPr="00C63603">
        <w:rPr>
          <w:rFonts w:ascii="Arial" w:hAnsi="Arial" w:cs="Arial"/>
          <w:sz w:val="20"/>
        </w:rPr>
        <w:t>will be installed without splices</w:t>
      </w:r>
      <w:r w:rsidR="0092021D">
        <w:rPr>
          <w:rFonts w:ascii="Arial" w:hAnsi="Arial" w:cs="Arial"/>
          <w:sz w:val="20"/>
        </w:rPr>
        <w:t>.</w:t>
      </w:r>
      <w:r w:rsidR="001410C1">
        <w:rPr>
          <w:rFonts w:ascii="Arial" w:hAnsi="Arial" w:cs="Arial"/>
          <w:sz w:val="20"/>
        </w:rPr>
        <w:t xml:space="preserve">  It shall be run continuously from the TMGB to the TGB in the IDF farthest from the BDF.  For buildings with multiple “stacks” of IDFs, additional TBB runs may be necessary.  </w:t>
      </w:r>
    </w:p>
    <w:p w:rsidR="004130AD" w:rsidRDefault="004130AD" w:rsidP="00570714">
      <w:pPr>
        <w:spacing w:after="0" w:line="240" w:lineRule="auto"/>
        <w:ind w:left="1800"/>
        <w:rPr>
          <w:rFonts w:ascii="Arial" w:hAnsi="Arial" w:cs="Arial"/>
          <w:sz w:val="20"/>
          <w:szCs w:val="20"/>
        </w:rPr>
      </w:pPr>
    </w:p>
    <w:p w:rsidR="00570714" w:rsidRDefault="00570714" w:rsidP="00570714">
      <w:pPr>
        <w:spacing w:after="0" w:line="240" w:lineRule="auto"/>
        <w:ind w:left="1800"/>
        <w:rPr>
          <w:rFonts w:ascii="Arial" w:hAnsi="Arial" w:cs="Arial"/>
          <w:sz w:val="20"/>
          <w:szCs w:val="20"/>
        </w:rPr>
      </w:pPr>
      <w:proofErr w:type="gramStart"/>
      <w:r>
        <w:rPr>
          <w:rFonts w:ascii="Arial" w:hAnsi="Arial" w:cs="Arial"/>
          <w:sz w:val="20"/>
          <w:szCs w:val="20"/>
        </w:rPr>
        <w:t xml:space="preserve">TBB </w:t>
      </w:r>
      <w:r w:rsidR="001410C1">
        <w:rPr>
          <w:rFonts w:ascii="Arial" w:hAnsi="Arial" w:cs="Arial"/>
          <w:sz w:val="20"/>
          <w:szCs w:val="20"/>
        </w:rPr>
        <w:t>installation</w:t>
      </w:r>
      <w:r>
        <w:rPr>
          <w:rFonts w:ascii="Arial" w:hAnsi="Arial" w:cs="Arial"/>
          <w:sz w:val="20"/>
          <w:szCs w:val="20"/>
        </w:rPr>
        <w:t>.</w:t>
      </w:r>
      <w:proofErr w:type="gramEnd"/>
      <w:r w:rsidR="001410C1">
        <w:rPr>
          <w:rFonts w:ascii="Arial" w:hAnsi="Arial" w:cs="Arial"/>
          <w:sz w:val="20"/>
          <w:szCs w:val="20"/>
        </w:rPr>
        <w:t xml:space="preserve">  The TBB should be sized per the table below with the TBB length calculated from the last TGB in the run to the TMGB.  At each </w:t>
      </w:r>
      <w:r w:rsidR="00F84274">
        <w:rPr>
          <w:rFonts w:ascii="Arial" w:hAnsi="Arial" w:cs="Arial"/>
          <w:sz w:val="20"/>
          <w:szCs w:val="20"/>
        </w:rPr>
        <w:t xml:space="preserve">intermediate </w:t>
      </w:r>
      <w:r w:rsidR="001410C1">
        <w:rPr>
          <w:rFonts w:ascii="Arial" w:hAnsi="Arial" w:cs="Arial"/>
          <w:sz w:val="20"/>
          <w:szCs w:val="20"/>
        </w:rPr>
        <w:t>T</w:t>
      </w:r>
      <w:r w:rsidR="00F84274">
        <w:rPr>
          <w:rFonts w:ascii="Arial" w:hAnsi="Arial" w:cs="Arial"/>
          <w:sz w:val="20"/>
          <w:szCs w:val="20"/>
        </w:rPr>
        <w:t>G</w:t>
      </w:r>
      <w:r w:rsidR="001410C1">
        <w:rPr>
          <w:rFonts w:ascii="Arial" w:hAnsi="Arial" w:cs="Arial"/>
          <w:sz w:val="20"/>
          <w:szCs w:val="20"/>
        </w:rPr>
        <w:t xml:space="preserve">B, compression H-Tap type connectors should be used to bond the TBB to the jumper wire (#6) routed to the TGB. </w:t>
      </w:r>
    </w:p>
    <w:p w:rsidR="001410C1" w:rsidRDefault="001410C1" w:rsidP="00570714">
      <w:pPr>
        <w:spacing w:after="0" w:line="240" w:lineRule="auto"/>
        <w:ind w:left="1800"/>
        <w:rPr>
          <w:rFonts w:ascii="Arial" w:hAnsi="Arial" w:cs="Arial"/>
          <w:sz w:val="20"/>
          <w:szCs w:val="20"/>
        </w:rPr>
      </w:pPr>
    </w:p>
    <w:tbl>
      <w:tblPr>
        <w:tblStyle w:val="TableGrid"/>
        <w:tblW w:w="5652" w:type="dxa"/>
        <w:tblInd w:w="2376" w:type="dxa"/>
        <w:tblLook w:val="04A0"/>
      </w:tblPr>
      <w:tblGrid>
        <w:gridCol w:w="3888"/>
        <w:gridCol w:w="1764"/>
      </w:tblGrid>
      <w:tr w:rsidR="001410C1" w:rsidTr="001410C1">
        <w:tc>
          <w:tcPr>
            <w:tcW w:w="3888" w:type="dxa"/>
          </w:tcPr>
          <w:p w:rsidR="001410C1" w:rsidRDefault="003406C2" w:rsidP="00570714">
            <w:pPr>
              <w:spacing w:after="0" w:line="240" w:lineRule="auto"/>
              <w:rPr>
                <w:rFonts w:ascii="Arial" w:hAnsi="Arial" w:cs="Arial"/>
                <w:sz w:val="20"/>
                <w:szCs w:val="20"/>
              </w:rPr>
            </w:pPr>
            <w:r>
              <w:rPr>
                <w:rFonts w:ascii="Arial" w:hAnsi="Arial" w:cs="Arial"/>
                <w:sz w:val="20"/>
                <w:szCs w:val="20"/>
              </w:rPr>
              <w:t>TBB Length (LF)</w:t>
            </w:r>
          </w:p>
        </w:tc>
        <w:tc>
          <w:tcPr>
            <w:tcW w:w="1764" w:type="dxa"/>
          </w:tcPr>
          <w:p w:rsidR="001410C1" w:rsidRDefault="003406C2" w:rsidP="00570714">
            <w:pPr>
              <w:spacing w:after="0" w:line="240" w:lineRule="auto"/>
              <w:rPr>
                <w:rFonts w:ascii="Arial" w:hAnsi="Arial" w:cs="Arial"/>
                <w:sz w:val="20"/>
                <w:szCs w:val="20"/>
              </w:rPr>
            </w:pPr>
            <w:r>
              <w:rPr>
                <w:rFonts w:ascii="Arial" w:hAnsi="Arial" w:cs="Arial"/>
                <w:sz w:val="20"/>
                <w:szCs w:val="20"/>
              </w:rPr>
              <w:t>TBB Size (AWG)</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Less than 13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6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14-20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4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21-26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3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27-33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2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34-41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1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42-52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1/0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53-66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2/0 </w:t>
            </w:r>
          </w:p>
        </w:tc>
      </w:tr>
      <w:tr w:rsidR="003406C2" w:rsidTr="001410C1">
        <w:tc>
          <w:tcPr>
            <w:tcW w:w="3888"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Greater than 66 </w:t>
            </w:r>
          </w:p>
        </w:tc>
        <w:tc>
          <w:tcPr>
            <w:tcW w:w="1764" w:type="dxa"/>
          </w:tcPr>
          <w:p w:rsidR="003406C2" w:rsidRPr="003406C2" w:rsidRDefault="003406C2" w:rsidP="00510AE0">
            <w:pPr>
              <w:pStyle w:val="Default"/>
              <w:jc w:val="both"/>
              <w:rPr>
                <w:rFonts w:ascii="Arial" w:hAnsi="Arial" w:cs="Arial"/>
                <w:sz w:val="20"/>
                <w:szCs w:val="20"/>
              </w:rPr>
            </w:pPr>
            <w:r w:rsidRPr="003406C2">
              <w:rPr>
                <w:rFonts w:ascii="Arial" w:hAnsi="Arial" w:cs="Arial"/>
                <w:sz w:val="20"/>
                <w:szCs w:val="20"/>
              </w:rPr>
              <w:t xml:space="preserve">3/0 </w:t>
            </w:r>
          </w:p>
        </w:tc>
      </w:tr>
    </w:tbl>
    <w:p w:rsidR="001410C1" w:rsidRPr="00191781" w:rsidRDefault="001410C1" w:rsidP="00570714">
      <w:pPr>
        <w:spacing w:after="0" w:line="240" w:lineRule="auto"/>
        <w:ind w:left="1800"/>
        <w:rPr>
          <w:rFonts w:ascii="Arial" w:hAnsi="Arial" w:cs="Arial"/>
          <w:sz w:val="20"/>
          <w:szCs w:val="20"/>
        </w:rPr>
      </w:pPr>
    </w:p>
    <w:p w:rsidR="00570714" w:rsidRDefault="00570714" w:rsidP="00814D5F">
      <w:pPr>
        <w:numPr>
          <w:ilvl w:val="0"/>
          <w:numId w:val="13"/>
        </w:numPr>
        <w:tabs>
          <w:tab w:val="clear" w:pos="360"/>
          <w:tab w:val="num" w:pos="1800"/>
        </w:tabs>
        <w:spacing w:before="120" w:after="0" w:line="240" w:lineRule="auto"/>
        <w:ind w:left="1800"/>
        <w:rPr>
          <w:rFonts w:ascii="Arial" w:hAnsi="Arial" w:cs="Arial"/>
          <w:sz w:val="20"/>
        </w:rPr>
      </w:pPr>
      <w:r w:rsidRPr="00570714">
        <w:rPr>
          <w:rFonts w:ascii="Arial" w:hAnsi="Arial" w:cs="Arial"/>
          <w:sz w:val="20"/>
        </w:rPr>
        <w:t xml:space="preserve">Grounding Equalizer (GE).   </w:t>
      </w:r>
      <w:r w:rsidR="00D0699F">
        <w:rPr>
          <w:rFonts w:ascii="Arial" w:hAnsi="Arial" w:cs="Arial"/>
          <w:sz w:val="20"/>
        </w:rPr>
        <w:t xml:space="preserve">When more than one TBB is installed in a building (for IDFs in multiple stacks, an additional grounding equalizer conductor is required.  </w:t>
      </w:r>
      <w:r w:rsidRPr="00570714">
        <w:rPr>
          <w:rFonts w:ascii="Arial" w:hAnsi="Arial" w:cs="Arial"/>
          <w:sz w:val="20"/>
        </w:rPr>
        <w:t xml:space="preserve">This conductor connects the TGB’s in </w:t>
      </w:r>
      <w:r w:rsidR="00723358">
        <w:rPr>
          <w:rFonts w:ascii="Arial" w:hAnsi="Arial" w:cs="Arial"/>
          <w:sz w:val="20"/>
        </w:rPr>
        <w:t xml:space="preserve">IDFs on </w:t>
      </w:r>
      <w:r w:rsidRPr="00570714">
        <w:rPr>
          <w:rFonts w:ascii="Arial" w:hAnsi="Arial" w:cs="Arial"/>
          <w:sz w:val="20"/>
        </w:rPr>
        <w:t>the same floor</w:t>
      </w:r>
      <w:r w:rsidR="00723358">
        <w:rPr>
          <w:rFonts w:ascii="Arial" w:hAnsi="Arial" w:cs="Arial"/>
          <w:sz w:val="20"/>
        </w:rPr>
        <w:t xml:space="preserve"> in a building on the</w:t>
      </w:r>
      <w:r w:rsidRPr="00570714">
        <w:rPr>
          <w:rFonts w:ascii="Arial" w:hAnsi="Arial" w:cs="Arial"/>
          <w:sz w:val="20"/>
        </w:rPr>
        <w:t xml:space="preserve"> first, top and every </w:t>
      </w:r>
      <w:r w:rsidR="00723358">
        <w:rPr>
          <w:rFonts w:ascii="Arial" w:hAnsi="Arial" w:cs="Arial"/>
          <w:sz w:val="20"/>
        </w:rPr>
        <w:t xml:space="preserve">intermediate </w:t>
      </w:r>
      <w:r w:rsidRPr="00570714">
        <w:rPr>
          <w:rFonts w:ascii="Arial" w:hAnsi="Arial" w:cs="Arial"/>
          <w:sz w:val="20"/>
        </w:rPr>
        <w:t>third floor in</w:t>
      </w:r>
      <w:r w:rsidR="00723358">
        <w:rPr>
          <w:rFonts w:ascii="Arial" w:hAnsi="Arial" w:cs="Arial"/>
          <w:sz w:val="20"/>
        </w:rPr>
        <w:t xml:space="preserve"> </w:t>
      </w:r>
      <w:r w:rsidRPr="00570714">
        <w:rPr>
          <w:rFonts w:ascii="Arial" w:hAnsi="Arial" w:cs="Arial"/>
          <w:sz w:val="20"/>
        </w:rPr>
        <w:t>multi-story building</w:t>
      </w:r>
      <w:r w:rsidR="00723358">
        <w:rPr>
          <w:rFonts w:ascii="Arial" w:hAnsi="Arial" w:cs="Arial"/>
          <w:sz w:val="20"/>
        </w:rPr>
        <w:t>s</w:t>
      </w:r>
      <w:r w:rsidRPr="00570714">
        <w:rPr>
          <w:rFonts w:ascii="Arial" w:hAnsi="Arial" w:cs="Arial"/>
          <w:sz w:val="20"/>
        </w:rPr>
        <w:t>.</w:t>
      </w:r>
      <w:r w:rsidR="00D0699F">
        <w:rPr>
          <w:rFonts w:ascii="Arial" w:hAnsi="Arial" w:cs="Arial"/>
          <w:sz w:val="20"/>
        </w:rPr>
        <w:t xml:space="preserve">  These shall be routed on one floor, either via the riser cabling conduits or a separate conduit.  Sizing for the GE is the same as for the TBB (using the table above).</w:t>
      </w:r>
    </w:p>
    <w:p w:rsidR="00570714" w:rsidRDefault="00232285" w:rsidP="00570714">
      <w:pPr>
        <w:numPr>
          <w:ilvl w:val="0"/>
          <w:numId w:val="55"/>
        </w:numPr>
        <w:spacing w:before="120" w:after="0" w:line="240" w:lineRule="auto"/>
        <w:rPr>
          <w:rFonts w:ascii="Arial" w:hAnsi="Arial" w:cs="Arial"/>
          <w:sz w:val="20"/>
        </w:rPr>
      </w:pPr>
      <w:r>
        <w:rPr>
          <w:rFonts w:ascii="Arial" w:hAnsi="Arial" w:cs="Arial"/>
          <w:sz w:val="20"/>
        </w:rPr>
        <w:t>Equipment racks</w:t>
      </w:r>
      <w:r w:rsidR="00570714">
        <w:rPr>
          <w:rFonts w:ascii="Arial" w:hAnsi="Arial" w:cs="Arial"/>
          <w:sz w:val="20"/>
        </w:rPr>
        <w:t xml:space="preserve">.  </w:t>
      </w:r>
      <w:r>
        <w:rPr>
          <w:rFonts w:ascii="Arial" w:hAnsi="Arial" w:cs="Arial"/>
          <w:sz w:val="20"/>
        </w:rPr>
        <w:t>A</w:t>
      </w:r>
      <w:r w:rsidR="00570714">
        <w:rPr>
          <w:rFonts w:ascii="Arial" w:hAnsi="Arial" w:cs="Arial"/>
          <w:sz w:val="20"/>
        </w:rPr>
        <w:t xml:space="preserve"> #6, insulated grounding conductor shall be installed between the </w:t>
      </w:r>
      <w:proofErr w:type="gramStart"/>
      <w:r w:rsidR="00570714">
        <w:rPr>
          <w:rFonts w:ascii="Arial" w:hAnsi="Arial" w:cs="Arial"/>
          <w:sz w:val="20"/>
        </w:rPr>
        <w:t>TMGB</w:t>
      </w:r>
      <w:r w:rsidR="00595926">
        <w:rPr>
          <w:rFonts w:ascii="Arial" w:hAnsi="Arial" w:cs="Arial"/>
          <w:sz w:val="20"/>
        </w:rPr>
        <w:t xml:space="preserve"> </w:t>
      </w:r>
      <w:r w:rsidR="00570714">
        <w:rPr>
          <w:rFonts w:ascii="Arial" w:hAnsi="Arial" w:cs="Arial"/>
          <w:sz w:val="20"/>
        </w:rPr>
        <w:t xml:space="preserve"> </w:t>
      </w:r>
      <w:r w:rsidR="00595926">
        <w:rPr>
          <w:rFonts w:ascii="Arial" w:hAnsi="Arial" w:cs="Arial"/>
          <w:sz w:val="20"/>
        </w:rPr>
        <w:t>or</w:t>
      </w:r>
      <w:proofErr w:type="gramEnd"/>
      <w:r w:rsidR="00595926">
        <w:rPr>
          <w:rFonts w:ascii="Arial" w:hAnsi="Arial" w:cs="Arial"/>
          <w:sz w:val="20"/>
        </w:rPr>
        <w:t xml:space="preserve"> </w:t>
      </w:r>
      <w:r w:rsidR="00570714">
        <w:rPr>
          <w:rFonts w:ascii="Arial" w:hAnsi="Arial" w:cs="Arial"/>
          <w:sz w:val="20"/>
        </w:rPr>
        <w:t xml:space="preserve">TGB </w:t>
      </w:r>
      <w:r>
        <w:rPr>
          <w:rFonts w:ascii="Arial" w:hAnsi="Arial" w:cs="Arial"/>
          <w:sz w:val="20"/>
        </w:rPr>
        <w:t xml:space="preserve">and all </w:t>
      </w:r>
      <w:r w:rsidR="00570714">
        <w:rPr>
          <w:rFonts w:ascii="Arial" w:hAnsi="Arial" w:cs="Arial"/>
          <w:sz w:val="20"/>
        </w:rPr>
        <w:t>equipment rack</w:t>
      </w:r>
      <w:r w:rsidR="00A82B85">
        <w:rPr>
          <w:rFonts w:ascii="Arial" w:hAnsi="Arial" w:cs="Arial"/>
          <w:sz w:val="20"/>
        </w:rPr>
        <w:t>s</w:t>
      </w:r>
      <w:r w:rsidR="00570714">
        <w:rPr>
          <w:rFonts w:ascii="Arial" w:hAnsi="Arial" w:cs="Arial"/>
          <w:sz w:val="20"/>
        </w:rPr>
        <w:t xml:space="preserve">.  </w:t>
      </w:r>
      <w:r w:rsidR="00A82B85">
        <w:rPr>
          <w:rFonts w:ascii="Arial" w:hAnsi="Arial" w:cs="Arial"/>
          <w:sz w:val="20"/>
        </w:rPr>
        <w:t>These should be c</w:t>
      </w:r>
      <w:r w:rsidR="00570714">
        <w:rPr>
          <w:rFonts w:ascii="Arial" w:hAnsi="Arial" w:cs="Arial"/>
          <w:sz w:val="20"/>
        </w:rPr>
        <w:t>onnected in series</w:t>
      </w:r>
      <w:r w:rsidR="00A82B85">
        <w:rPr>
          <w:rFonts w:ascii="Arial" w:hAnsi="Arial" w:cs="Arial"/>
          <w:sz w:val="20"/>
        </w:rPr>
        <w:t xml:space="preserve"> using </w:t>
      </w:r>
      <w:r w:rsidR="00F84274">
        <w:rPr>
          <w:rFonts w:ascii="Arial" w:hAnsi="Arial" w:cs="Arial"/>
          <w:sz w:val="20"/>
        </w:rPr>
        <w:t>one</w:t>
      </w:r>
      <w:r w:rsidR="00A82B85">
        <w:rPr>
          <w:rFonts w:ascii="Arial" w:hAnsi="Arial" w:cs="Arial"/>
          <w:sz w:val="20"/>
        </w:rPr>
        <w:t xml:space="preserve"> continuous conductor</w:t>
      </w:r>
      <w:r w:rsidR="00570714">
        <w:rPr>
          <w:rFonts w:ascii="Arial" w:hAnsi="Arial" w:cs="Arial"/>
          <w:sz w:val="20"/>
        </w:rPr>
        <w:t xml:space="preserve">.  </w:t>
      </w:r>
      <w:r w:rsidR="00D42E1F">
        <w:rPr>
          <w:rFonts w:ascii="Arial" w:hAnsi="Arial" w:cs="Arial"/>
          <w:sz w:val="20"/>
        </w:rPr>
        <w:t>One lay-in lug should be installed onto the back</w:t>
      </w:r>
      <w:r w:rsidR="00F84274">
        <w:rPr>
          <w:rFonts w:ascii="Arial" w:hAnsi="Arial" w:cs="Arial"/>
          <w:sz w:val="20"/>
        </w:rPr>
        <w:t xml:space="preserve"> of one of the side rails (at 9” below the top of rack) with the</w:t>
      </w:r>
      <w:r w:rsidR="00A82B85">
        <w:rPr>
          <w:rFonts w:ascii="Arial" w:hAnsi="Arial" w:cs="Arial"/>
          <w:sz w:val="20"/>
        </w:rPr>
        <w:t xml:space="preserve"> conductor insulation trimmed back across the lug setscrews.</w:t>
      </w:r>
      <w:r w:rsidR="00F84274">
        <w:rPr>
          <w:rFonts w:ascii="Arial" w:hAnsi="Arial" w:cs="Arial"/>
          <w:sz w:val="20"/>
        </w:rPr>
        <w:t xml:space="preserve">  This conductor should be neatly fastened to the underside of the horizontal ladder rack.</w:t>
      </w:r>
      <w:r w:rsidR="00A82B85">
        <w:rPr>
          <w:rFonts w:ascii="Arial" w:hAnsi="Arial" w:cs="Arial"/>
          <w:sz w:val="20"/>
        </w:rPr>
        <w:t xml:space="preserve">   </w:t>
      </w:r>
    </w:p>
    <w:p w:rsidR="00717A15" w:rsidRDefault="00717A15" w:rsidP="00570714">
      <w:pPr>
        <w:numPr>
          <w:ilvl w:val="0"/>
          <w:numId w:val="55"/>
        </w:numPr>
        <w:spacing w:before="120" w:after="0" w:line="240" w:lineRule="auto"/>
        <w:rPr>
          <w:rFonts w:ascii="Arial" w:hAnsi="Arial" w:cs="Arial"/>
          <w:sz w:val="20"/>
        </w:rPr>
      </w:pPr>
      <w:r>
        <w:rPr>
          <w:rFonts w:ascii="Arial" w:hAnsi="Arial" w:cs="Arial"/>
          <w:sz w:val="20"/>
        </w:rPr>
        <w:t xml:space="preserve">Ladder racks.  A #6, insulated grounding conductor shall be installed between the </w:t>
      </w:r>
      <w:proofErr w:type="gramStart"/>
      <w:r>
        <w:rPr>
          <w:rFonts w:ascii="Arial" w:hAnsi="Arial" w:cs="Arial"/>
          <w:sz w:val="20"/>
        </w:rPr>
        <w:t xml:space="preserve">TMGB </w:t>
      </w:r>
      <w:r w:rsidR="00595926">
        <w:rPr>
          <w:rFonts w:ascii="Arial" w:hAnsi="Arial" w:cs="Arial"/>
          <w:sz w:val="20"/>
        </w:rPr>
        <w:t xml:space="preserve"> </w:t>
      </w:r>
      <w:r>
        <w:rPr>
          <w:rFonts w:ascii="Arial" w:hAnsi="Arial" w:cs="Arial"/>
          <w:sz w:val="20"/>
        </w:rPr>
        <w:t>TGB</w:t>
      </w:r>
      <w:proofErr w:type="gramEnd"/>
      <w:r>
        <w:rPr>
          <w:rFonts w:ascii="Arial" w:hAnsi="Arial" w:cs="Arial"/>
          <w:sz w:val="20"/>
        </w:rPr>
        <w:t xml:space="preserve"> and </w:t>
      </w:r>
      <w:r w:rsidR="00311DF1">
        <w:rPr>
          <w:rFonts w:ascii="Arial" w:hAnsi="Arial" w:cs="Arial"/>
          <w:sz w:val="20"/>
        </w:rPr>
        <w:t>each contiguous group of ladder rack sections</w:t>
      </w:r>
      <w:r>
        <w:rPr>
          <w:rFonts w:ascii="Arial" w:hAnsi="Arial" w:cs="Arial"/>
          <w:sz w:val="20"/>
        </w:rPr>
        <w:t>.</w:t>
      </w:r>
      <w:r w:rsidR="00311DF1">
        <w:rPr>
          <w:rFonts w:ascii="Arial" w:hAnsi="Arial" w:cs="Arial"/>
          <w:sz w:val="20"/>
        </w:rPr>
        <w:t xml:space="preserve">  </w:t>
      </w:r>
      <w:r w:rsidR="00F22B23">
        <w:rPr>
          <w:rFonts w:ascii="Arial" w:hAnsi="Arial" w:cs="Arial"/>
          <w:sz w:val="20"/>
        </w:rPr>
        <w:t xml:space="preserve">This conductor should be bonded to the ladder rack with </w:t>
      </w:r>
      <w:proofErr w:type="spellStart"/>
      <w:r w:rsidR="00F22B23">
        <w:rPr>
          <w:rFonts w:ascii="Arial" w:hAnsi="Arial" w:cs="Arial"/>
          <w:sz w:val="20"/>
        </w:rPr>
        <w:t>Flextray</w:t>
      </w:r>
      <w:proofErr w:type="spellEnd"/>
      <w:r w:rsidR="00F22B23">
        <w:rPr>
          <w:rFonts w:ascii="Arial" w:hAnsi="Arial" w:cs="Arial"/>
          <w:sz w:val="20"/>
        </w:rPr>
        <w:t xml:space="preserve"> ground bolts.  Adjacent sections of ladder rack should be bonded together with washer splice kits.</w:t>
      </w:r>
      <w:r>
        <w:rPr>
          <w:rFonts w:ascii="Arial" w:hAnsi="Arial" w:cs="Arial"/>
          <w:sz w:val="20"/>
        </w:rPr>
        <w:t xml:space="preserve">  </w:t>
      </w:r>
    </w:p>
    <w:p w:rsidR="00DE2E0F" w:rsidRDefault="00DE2E0F" w:rsidP="00AD4FC1">
      <w:pPr>
        <w:numPr>
          <w:ilvl w:val="0"/>
          <w:numId w:val="55"/>
        </w:numPr>
        <w:spacing w:before="120" w:after="0" w:line="240" w:lineRule="auto"/>
        <w:rPr>
          <w:rFonts w:ascii="Arial" w:hAnsi="Arial" w:cs="Arial"/>
          <w:sz w:val="20"/>
          <w:szCs w:val="20"/>
        </w:rPr>
      </w:pPr>
      <w:r w:rsidRPr="00AD4FC1">
        <w:rPr>
          <w:rFonts w:ascii="Arial" w:hAnsi="Arial" w:cs="Arial"/>
          <w:sz w:val="20"/>
        </w:rPr>
        <w:t>Pathway components.</w:t>
      </w:r>
      <w:r w:rsidR="00AD4FC1" w:rsidRPr="00AD4FC1">
        <w:rPr>
          <w:rFonts w:ascii="Arial" w:hAnsi="Arial" w:cs="Arial"/>
          <w:sz w:val="20"/>
        </w:rPr>
        <w:t xml:space="preserve">  </w:t>
      </w:r>
      <w:r w:rsidRPr="00AD4FC1">
        <w:rPr>
          <w:rFonts w:ascii="Arial" w:hAnsi="Arial" w:cs="Arial"/>
          <w:sz w:val="20"/>
          <w:szCs w:val="20"/>
        </w:rPr>
        <w:t>A #6 grounding conductor sh</w:t>
      </w:r>
      <w:r w:rsidR="007F77CC" w:rsidRPr="00AD4FC1">
        <w:rPr>
          <w:rFonts w:ascii="Arial" w:hAnsi="Arial" w:cs="Arial"/>
          <w:sz w:val="20"/>
          <w:szCs w:val="20"/>
        </w:rPr>
        <w:t>all</w:t>
      </w:r>
      <w:r w:rsidRPr="00AD4FC1">
        <w:rPr>
          <w:rFonts w:ascii="Arial" w:hAnsi="Arial" w:cs="Arial"/>
          <w:sz w:val="20"/>
          <w:szCs w:val="20"/>
        </w:rPr>
        <w:t xml:space="preserve"> be installed from each distinct wireway or conduit</w:t>
      </w:r>
      <w:r w:rsidR="007F77CC" w:rsidRPr="00AD4FC1">
        <w:rPr>
          <w:rFonts w:ascii="Arial" w:hAnsi="Arial" w:cs="Arial"/>
          <w:sz w:val="20"/>
          <w:szCs w:val="20"/>
        </w:rPr>
        <w:t xml:space="preserve"> </w:t>
      </w:r>
      <w:r w:rsidRPr="00AD4FC1">
        <w:rPr>
          <w:rFonts w:ascii="Arial" w:hAnsi="Arial" w:cs="Arial"/>
          <w:sz w:val="20"/>
          <w:szCs w:val="20"/>
        </w:rPr>
        <w:t>over 1” in diameter which exits the</w:t>
      </w:r>
      <w:r w:rsidR="00B273F6">
        <w:rPr>
          <w:rFonts w:ascii="Arial" w:hAnsi="Arial" w:cs="Arial"/>
          <w:sz w:val="20"/>
          <w:szCs w:val="20"/>
        </w:rPr>
        <w:t xml:space="preserve"> BDF/</w:t>
      </w:r>
      <w:r w:rsidRPr="00AD4FC1">
        <w:rPr>
          <w:rFonts w:ascii="Arial" w:hAnsi="Arial" w:cs="Arial"/>
          <w:sz w:val="20"/>
          <w:szCs w:val="20"/>
        </w:rPr>
        <w:t xml:space="preserve">IDF </w:t>
      </w:r>
      <w:r w:rsidR="007F77CC" w:rsidRPr="00AD4FC1">
        <w:rPr>
          <w:rFonts w:ascii="Arial" w:hAnsi="Arial" w:cs="Arial"/>
          <w:sz w:val="20"/>
          <w:szCs w:val="20"/>
        </w:rPr>
        <w:t>(</w:t>
      </w:r>
      <w:r w:rsidRPr="00AD4FC1">
        <w:rPr>
          <w:rFonts w:ascii="Arial" w:hAnsi="Arial" w:cs="Arial"/>
          <w:sz w:val="20"/>
          <w:szCs w:val="20"/>
        </w:rPr>
        <w:t>and houses either horizontal or riser cabling</w:t>
      </w:r>
      <w:proofErr w:type="gramStart"/>
      <w:r w:rsidR="007F77CC" w:rsidRPr="00AD4FC1">
        <w:rPr>
          <w:rFonts w:ascii="Arial" w:hAnsi="Arial" w:cs="Arial"/>
          <w:sz w:val="20"/>
          <w:szCs w:val="20"/>
        </w:rPr>
        <w:t xml:space="preserve">) </w:t>
      </w:r>
      <w:r w:rsidRPr="00AD4FC1">
        <w:rPr>
          <w:rFonts w:ascii="Arial" w:hAnsi="Arial" w:cs="Arial"/>
          <w:sz w:val="20"/>
          <w:szCs w:val="20"/>
        </w:rPr>
        <w:t xml:space="preserve"> back</w:t>
      </w:r>
      <w:proofErr w:type="gramEnd"/>
      <w:r w:rsidRPr="00AD4FC1">
        <w:rPr>
          <w:rFonts w:ascii="Arial" w:hAnsi="Arial" w:cs="Arial"/>
          <w:sz w:val="20"/>
          <w:szCs w:val="20"/>
        </w:rPr>
        <w:t xml:space="preserve"> to the </w:t>
      </w:r>
      <w:r w:rsidR="00B273F6">
        <w:rPr>
          <w:rFonts w:ascii="Arial" w:hAnsi="Arial" w:cs="Arial"/>
          <w:sz w:val="20"/>
          <w:szCs w:val="20"/>
        </w:rPr>
        <w:t>TMGB/</w:t>
      </w:r>
      <w:r w:rsidRPr="00AD4FC1">
        <w:rPr>
          <w:rFonts w:ascii="Arial" w:hAnsi="Arial" w:cs="Arial"/>
          <w:sz w:val="20"/>
          <w:szCs w:val="20"/>
        </w:rPr>
        <w:t xml:space="preserve">TGB.  </w:t>
      </w:r>
      <w:r w:rsidR="007F77CC" w:rsidRPr="00AD4FC1">
        <w:rPr>
          <w:rFonts w:ascii="Arial" w:hAnsi="Arial" w:cs="Arial"/>
          <w:sz w:val="20"/>
          <w:szCs w:val="20"/>
        </w:rPr>
        <w:t>T</w:t>
      </w:r>
      <w:r w:rsidRPr="00AD4FC1">
        <w:rPr>
          <w:rFonts w:ascii="Arial" w:hAnsi="Arial" w:cs="Arial"/>
          <w:sz w:val="20"/>
          <w:szCs w:val="20"/>
        </w:rPr>
        <w:t>hese co</w:t>
      </w:r>
      <w:r w:rsidR="007F77CC" w:rsidRPr="00AD4FC1">
        <w:rPr>
          <w:rFonts w:ascii="Arial" w:hAnsi="Arial" w:cs="Arial"/>
          <w:sz w:val="20"/>
          <w:szCs w:val="20"/>
        </w:rPr>
        <w:t>nductors</w:t>
      </w:r>
      <w:r w:rsidRPr="00AD4FC1">
        <w:rPr>
          <w:rFonts w:ascii="Arial" w:hAnsi="Arial" w:cs="Arial"/>
          <w:sz w:val="20"/>
          <w:szCs w:val="20"/>
        </w:rPr>
        <w:t xml:space="preserve"> may be connected in series to provide a continuous connection to all components.  </w:t>
      </w:r>
      <w:r w:rsidR="004130AD">
        <w:rPr>
          <w:rFonts w:ascii="Arial" w:hAnsi="Arial" w:cs="Arial"/>
          <w:sz w:val="20"/>
          <w:szCs w:val="20"/>
        </w:rPr>
        <w:t>G</w:t>
      </w:r>
      <w:r w:rsidRPr="00AD4FC1">
        <w:rPr>
          <w:rFonts w:ascii="Arial" w:hAnsi="Arial" w:cs="Arial"/>
          <w:sz w:val="20"/>
          <w:szCs w:val="20"/>
        </w:rPr>
        <w:t xml:space="preserve">rounding lugs should be </w:t>
      </w:r>
      <w:r w:rsidR="00367EB2">
        <w:rPr>
          <w:rFonts w:ascii="Arial" w:hAnsi="Arial" w:cs="Arial"/>
          <w:sz w:val="20"/>
          <w:szCs w:val="20"/>
        </w:rPr>
        <w:t xml:space="preserve">used for </w:t>
      </w:r>
      <w:r w:rsidR="00666E86" w:rsidRPr="00AD4FC1">
        <w:rPr>
          <w:rFonts w:ascii="Arial" w:hAnsi="Arial" w:cs="Arial"/>
          <w:sz w:val="20"/>
          <w:szCs w:val="20"/>
        </w:rPr>
        <w:t>bond</w:t>
      </w:r>
      <w:r w:rsidR="00367EB2">
        <w:rPr>
          <w:rFonts w:ascii="Arial" w:hAnsi="Arial" w:cs="Arial"/>
          <w:sz w:val="20"/>
          <w:szCs w:val="20"/>
        </w:rPr>
        <w:t>ing</w:t>
      </w:r>
      <w:r w:rsidR="00666E86" w:rsidRPr="00AD4FC1">
        <w:rPr>
          <w:rFonts w:ascii="Arial" w:hAnsi="Arial" w:cs="Arial"/>
          <w:sz w:val="20"/>
          <w:szCs w:val="20"/>
        </w:rPr>
        <w:t xml:space="preserve"> to wireway ends.</w:t>
      </w:r>
      <w:r w:rsidRPr="00AD4FC1">
        <w:rPr>
          <w:rFonts w:ascii="Arial" w:hAnsi="Arial" w:cs="Arial"/>
          <w:sz w:val="20"/>
          <w:szCs w:val="20"/>
        </w:rPr>
        <w:t xml:space="preserve">  Grounding bushings </w:t>
      </w:r>
      <w:r w:rsidR="00666E86" w:rsidRPr="00AD4FC1">
        <w:rPr>
          <w:rFonts w:ascii="Arial" w:hAnsi="Arial" w:cs="Arial"/>
          <w:sz w:val="20"/>
          <w:szCs w:val="20"/>
        </w:rPr>
        <w:t xml:space="preserve">or grounding clamps </w:t>
      </w:r>
      <w:r w:rsidRPr="00AD4FC1">
        <w:rPr>
          <w:rFonts w:ascii="Arial" w:hAnsi="Arial" w:cs="Arial"/>
          <w:sz w:val="20"/>
          <w:szCs w:val="20"/>
        </w:rPr>
        <w:t xml:space="preserve">should be </w:t>
      </w:r>
      <w:r w:rsidR="00367EB2">
        <w:rPr>
          <w:rFonts w:ascii="Arial" w:hAnsi="Arial" w:cs="Arial"/>
          <w:sz w:val="20"/>
          <w:szCs w:val="20"/>
        </w:rPr>
        <w:t xml:space="preserve">used for </w:t>
      </w:r>
      <w:r w:rsidR="00367EB2">
        <w:rPr>
          <w:rFonts w:ascii="Arial" w:hAnsi="Arial" w:cs="Arial"/>
          <w:sz w:val="20"/>
          <w:szCs w:val="20"/>
        </w:rPr>
        <w:lastRenderedPageBreak/>
        <w:t>bonding to conduit ends</w:t>
      </w:r>
      <w:r w:rsidR="00666E86" w:rsidRPr="00AD4FC1">
        <w:rPr>
          <w:rFonts w:ascii="Arial" w:hAnsi="Arial" w:cs="Arial"/>
          <w:sz w:val="20"/>
          <w:szCs w:val="20"/>
        </w:rPr>
        <w:t xml:space="preserve">.  </w:t>
      </w:r>
      <w:r w:rsidR="00367EB2">
        <w:rPr>
          <w:rFonts w:ascii="Arial" w:hAnsi="Arial" w:cs="Arial"/>
          <w:sz w:val="20"/>
          <w:szCs w:val="20"/>
        </w:rPr>
        <w:t>Adjacent w</w:t>
      </w:r>
      <w:r w:rsidR="00666E86" w:rsidRPr="00AD4FC1">
        <w:rPr>
          <w:rFonts w:ascii="Arial" w:hAnsi="Arial" w:cs="Arial"/>
          <w:sz w:val="20"/>
          <w:szCs w:val="20"/>
        </w:rPr>
        <w:t>ireway and conduit sections are not required to be bonded together with external bonding systems throughout the building distribution system.</w:t>
      </w:r>
    </w:p>
    <w:p w:rsidR="001262F9" w:rsidRDefault="00B273F6" w:rsidP="00AD4FC1">
      <w:pPr>
        <w:numPr>
          <w:ilvl w:val="0"/>
          <w:numId w:val="55"/>
        </w:numPr>
        <w:spacing w:before="120" w:after="0" w:line="240" w:lineRule="auto"/>
        <w:rPr>
          <w:rFonts w:ascii="Arial" w:hAnsi="Arial" w:cs="Arial"/>
          <w:sz w:val="20"/>
          <w:szCs w:val="20"/>
        </w:rPr>
      </w:pPr>
      <w:r>
        <w:rPr>
          <w:rFonts w:ascii="Arial" w:hAnsi="Arial" w:cs="Arial"/>
          <w:sz w:val="20"/>
          <w:szCs w:val="20"/>
        </w:rPr>
        <w:t xml:space="preserve">Surface Mounted </w:t>
      </w:r>
      <w:r w:rsidR="001262F9">
        <w:rPr>
          <w:rFonts w:ascii="Arial" w:hAnsi="Arial" w:cs="Arial"/>
          <w:sz w:val="20"/>
          <w:szCs w:val="20"/>
        </w:rPr>
        <w:t>Cabinets.  A TBB</w:t>
      </w:r>
      <w:r>
        <w:rPr>
          <w:rFonts w:ascii="Arial" w:hAnsi="Arial" w:cs="Arial"/>
          <w:sz w:val="20"/>
          <w:szCs w:val="20"/>
        </w:rPr>
        <w:t xml:space="preserve"> (sized #6)</w:t>
      </w:r>
      <w:r w:rsidR="001262F9">
        <w:rPr>
          <w:rFonts w:ascii="Arial" w:hAnsi="Arial" w:cs="Arial"/>
          <w:sz w:val="20"/>
          <w:szCs w:val="20"/>
        </w:rPr>
        <w:t xml:space="preserve"> conductor </w:t>
      </w:r>
      <w:r>
        <w:rPr>
          <w:rFonts w:ascii="Arial" w:hAnsi="Arial" w:cs="Arial"/>
          <w:sz w:val="20"/>
          <w:szCs w:val="20"/>
        </w:rPr>
        <w:t>shall</w:t>
      </w:r>
      <w:r w:rsidR="001262F9">
        <w:rPr>
          <w:rFonts w:ascii="Arial" w:hAnsi="Arial" w:cs="Arial"/>
          <w:sz w:val="20"/>
          <w:szCs w:val="20"/>
        </w:rPr>
        <w:t xml:space="preserve"> be installed from </w:t>
      </w:r>
      <w:r>
        <w:rPr>
          <w:rFonts w:ascii="Arial" w:hAnsi="Arial" w:cs="Arial"/>
          <w:sz w:val="20"/>
          <w:szCs w:val="20"/>
        </w:rPr>
        <w:t>a lay-in lug mounted on the inside of the rear section of the cabinet t</w:t>
      </w:r>
      <w:r w:rsidR="001262F9">
        <w:rPr>
          <w:rFonts w:ascii="Arial" w:hAnsi="Arial" w:cs="Arial"/>
          <w:sz w:val="20"/>
          <w:szCs w:val="20"/>
        </w:rPr>
        <w:t xml:space="preserve">o the TMGB via the riser cable conduit. </w:t>
      </w:r>
    </w:p>
    <w:p w:rsidR="00F0622E" w:rsidRDefault="00F0622E" w:rsidP="00AD4FC1">
      <w:pPr>
        <w:numPr>
          <w:ilvl w:val="0"/>
          <w:numId w:val="55"/>
        </w:numPr>
        <w:spacing w:before="120" w:after="0" w:line="240" w:lineRule="auto"/>
        <w:rPr>
          <w:rFonts w:ascii="Arial" w:hAnsi="Arial" w:cs="Arial"/>
          <w:sz w:val="20"/>
          <w:szCs w:val="20"/>
        </w:rPr>
      </w:pPr>
      <w:r>
        <w:rPr>
          <w:rFonts w:ascii="Arial" w:hAnsi="Arial" w:cs="Arial"/>
          <w:sz w:val="20"/>
          <w:szCs w:val="20"/>
        </w:rPr>
        <w:t>Flush Mounted Cabinets.  A TBB (sized #6) conductor shall be installed via the riser conduit system from the TMGB to each set of flush mounted cabinets.  One lay-in lug will be mounted on the inside (right side) of each cabinet with the TBB connecting the cabinets in series.</w:t>
      </w:r>
    </w:p>
    <w:p w:rsidR="00DE2E0F" w:rsidRPr="00773CB4" w:rsidRDefault="00773CB4" w:rsidP="00176D6A">
      <w:pPr>
        <w:numPr>
          <w:ilvl w:val="0"/>
          <w:numId w:val="55"/>
        </w:numPr>
        <w:spacing w:before="120" w:after="0" w:line="240" w:lineRule="auto"/>
        <w:rPr>
          <w:rFonts w:ascii="Arial" w:hAnsi="Arial" w:cs="Arial"/>
          <w:sz w:val="20"/>
          <w:szCs w:val="20"/>
        </w:rPr>
      </w:pPr>
      <w:r w:rsidRPr="00773CB4">
        <w:rPr>
          <w:rFonts w:ascii="Arial" w:hAnsi="Arial" w:cs="Arial"/>
          <w:sz w:val="20"/>
          <w:szCs w:val="20"/>
        </w:rPr>
        <w:t>G</w:t>
      </w:r>
      <w:r w:rsidR="00DE2E0F" w:rsidRPr="00773CB4">
        <w:rPr>
          <w:rFonts w:ascii="Arial" w:hAnsi="Arial" w:cs="Arial"/>
          <w:sz w:val="20"/>
          <w:szCs w:val="20"/>
        </w:rPr>
        <w:t xml:space="preserve">eneral practices.  The following general practices should be employed in the installation of </w:t>
      </w:r>
      <w:r w:rsidR="00176D6A" w:rsidRPr="00773CB4">
        <w:rPr>
          <w:rFonts w:ascii="Arial" w:hAnsi="Arial" w:cs="Arial"/>
          <w:sz w:val="20"/>
          <w:szCs w:val="20"/>
        </w:rPr>
        <w:t>bonding and</w:t>
      </w:r>
      <w:r w:rsidR="00DE2E0F" w:rsidRPr="00773CB4">
        <w:rPr>
          <w:rFonts w:ascii="Arial" w:hAnsi="Arial" w:cs="Arial"/>
          <w:sz w:val="20"/>
          <w:szCs w:val="20"/>
        </w:rPr>
        <w:t xml:space="preserve"> grounding system</w:t>
      </w:r>
      <w:r w:rsidR="00176D6A" w:rsidRPr="00773CB4">
        <w:rPr>
          <w:rFonts w:ascii="Arial" w:hAnsi="Arial" w:cs="Arial"/>
          <w:sz w:val="20"/>
          <w:szCs w:val="20"/>
        </w:rPr>
        <w:t>s</w:t>
      </w:r>
      <w:r w:rsidR="00DE2E0F" w:rsidRPr="00773CB4">
        <w:rPr>
          <w:rFonts w:ascii="Arial" w:hAnsi="Arial" w:cs="Arial"/>
          <w:sz w:val="20"/>
          <w:szCs w:val="20"/>
        </w:rPr>
        <w:t>.</w:t>
      </w:r>
    </w:p>
    <w:p w:rsidR="008048A8" w:rsidRPr="00176D6A" w:rsidRDefault="008048A8" w:rsidP="008048A8">
      <w:pPr>
        <w:spacing w:after="0" w:line="240" w:lineRule="auto"/>
        <w:rPr>
          <w:rFonts w:ascii="Arial" w:hAnsi="Arial" w:cs="Arial"/>
          <w:sz w:val="20"/>
          <w:szCs w:val="20"/>
        </w:rPr>
      </w:pPr>
    </w:p>
    <w:p w:rsidR="00DE2E0F" w:rsidRDefault="00DE2E0F" w:rsidP="008048A8">
      <w:pPr>
        <w:numPr>
          <w:ilvl w:val="0"/>
          <w:numId w:val="10"/>
        </w:numPr>
        <w:tabs>
          <w:tab w:val="clear" w:pos="360"/>
          <w:tab w:val="num" w:pos="1800"/>
        </w:tabs>
        <w:spacing w:after="0" w:line="240" w:lineRule="auto"/>
        <w:ind w:left="1800"/>
        <w:rPr>
          <w:rFonts w:ascii="Arial" w:hAnsi="Arial" w:cs="Arial"/>
          <w:sz w:val="20"/>
          <w:szCs w:val="20"/>
        </w:rPr>
      </w:pPr>
      <w:r w:rsidRPr="00176D6A">
        <w:rPr>
          <w:rFonts w:ascii="Arial" w:hAnsi="Arial" w:cs="Arial"/>
          <w:sz w:val="20"/>
          <w:szCs w:val="20"/>
        </w:rPr>
        <w:t xml:space="preserve">Support.  The grounding conductors may be wall mounted or fastened to ladder racks with plastic cable ties.  While they may be routed adjacent to telecommunications cables, they should not be attached to them in any way.  </w:t>
      </w:r>
    </w:p>
    <w:p w:rsidR="008048A8" w:rsidRPr="00176D6A" w:rsidRDefault="008048A8" w:rsidP="008048A8">
      <w:pPr>
        <w:spacing w:after="0" w:line="240" w:lineRule="auto"/>
        <w:ind w:left="1440"/>
        <w:rPr>
          <w:rFonts w:ascii="Arial" w:hAnsi="Arial" w:cs="Arial"/>
          <w:sz w:val="20"/>
          <w:szCs w:val="20"/>
        </w:rPr>
      </w:pPr>
    </w:p>
    <w:p w:rsidR="00DE2E0F" w:rsidRDefault="00DE2E0F" w:rsidP="008048A8">
      <w:pPr>
        <w:numPr>
          <w:ilvl w:val="0"/>
          <w:numId w:val="10"/>
        </w:numPr>
        <w:tabs>
          <w:tab w:val="clear" w:pos="360"/>
          <w:tab w:val="num" w:pos="1800"/>
        </w:tabs>
        <w:spacing w:after="0" w:line="240" w:lineRule="auto"/>
        <w:ind w:left="1800"/>
        <w:rPr>
          <w:rFonts w:ascii="Arial" w:hAnsi="Arial" w:cs="Arial"/>
          <w:sz w:val="20"/>
          <w:szCs w:val="20"/>
        </w:rPr>
      </w:pPr>
      <w:r w:rsidRPr="00176D6A">
        <w:rPr>
          <w:rFonts w:ascii="Arial" w:hAnsi="Arial" w:cs="Arial"/>
          <w:sz w:val="20"/>
          <w:szCs w:val="20"/>
        </w:rPr>
        <w:t xml:space="preserve">Substitute TBBs.  Building steel, water pipes, or metallic conduits </w:t>
      </w:r>
      <w:r w:rsidR="009832C7">
        <w:rPr>
          <w:rFonts w:ascii="Arial" w:hAnsi="Arial" w:cs="Arial"/>
          <w:sz w:val="20"/>
          <w:szCs w:val="20"/>
        </w:rPr>
        <w:t>shall not</w:t>
      </w:r>
      <w:r w:rsidRPr="00176D6A">
        <w:rPr>
          <w:rFonts w:ascii="Arial" w:hAnsi="Arial" w:cs="Arial"/>
          <w:sz w:val="20"/>
          <w:szCs w:val="20"/>
        </w:rPr>
        <w:t xml:space="preserve"> serve as a substitute for the TBB.</w:t>
      </w:r>
    </w:p>
    <w:p w:rsidR="008048A8" w:rsidRPr="00176D6A" w:rsidRDefault="008048A8" w:rsidP="008048A8">
      <w:pPr>
        <w:spacing w:after="0" w:line="240" w:lineRule="auto"/>
        <w:rPr>
          <w:rFonts w:ascii="Arial" w:hAnsi="Arial" w:cs="Arial"/>
          <w:sz w:val="20"/>
          <w:szCs w:val="20"/>
        </w:rPr>
      </w:pPr>
    </w:p>
    <w:p w:rsidR="00DE2E0F" w:rsidRPr="00176D6A" w:rsidRDefault="00DE2E0F" w:rsidP="008048A8">
      <w:pPr>
        <w:numPr>
          <w:ilvl w:val="0"/>
          <w:numId w:val="10"/>
        </w:numPr>
        <w:tabs>
          <w:tab w:val="clear" w:pos="360"/>
          <w:tab w:val="num" w:pos="1800"/>
        </w:tabs>
        <w:spacing w:after="0" w:line="240" w:lineRule="auto"/>
        <w:ind w:left="1800"/>
        <w:rPr>
          <w:rFonts w:ascii="Arial" w:hAnsi="Arial" w:cs="Arial"/>
          <w:sz w:val="20"/>
          <w:szCs w:val="20"/>
        </w:rPr>
      </w:pPr>
      <w:r w:rsidRPr="00176D6A">
        <w:rPr>
          <w:rFonts w:ascii="Arial" w:hAnsi="Arial" w:cs="Arial"/>
          <w:sz w:val="20"/>
          <w:szCs w:val="20"/>
        </w:rPr>
        <w:t>Bonding of painted surfaces.  An acceptable bond between the grounding conductor and painted metal surfaces is required.  In these cases, a small area of the paint should be removed by prior to</w:t>
      </w:r>
      <w:r w:rsidR="007D0A89">
        <w:rPr>
          <w:rFonts w:ascii="Arial" w:hAnsi="Arial" w:cs="Arial"/>
          <w:sz w:val="20"/>
          <w:szCs w:val="20"/>
        </w:rPr>
        <w:t xml:space="preserve"> (but visible after)</w:t>
      </w:r>
      <w:r w:rsidRPr="00176D6A">
        <w:rPr>
          <w:rFonts w:ascii="Arial" w:hAnsi="Arial" w:cs="Arial"/>
          <w:sz w:val="20"/>
          <w:szCs w:val="20"/>
        </w:rPr>
        <w:t xml:space="preserve"> the </w:t>
      </w:r>
      <w:r w:rsidR="007D0A89">
        <w:rPr>
          <w:rFonts w:ascii="Arial" w:hAnsi="Arial" w:cs="Arial"/>
          <w:sz w:val="20"/>
          <w:szCs w:val="20"/>
        </w:rPr>
        <w:t>installation</w:t>
      </w:r>
      <w:r w:rsidRPr="00176D6A">
        <w:rPr>
          <w:rFonts w:ascii="Arial" w:hAnsi="Arial" w:cs="Arial"/>
          <w:sz w:val="20"/>
          <w:szCs w:val="20"/>
        </w:rPr>
        <w:t xml:space="preserve"> of the ground lug.  </w:t>
      </w:r>
      <w:r w:rsidR="007D0A89">
        <w:rPr>
          <w:rFonts w:ascii="Arial" w:hAnsi="Arial" w:cs="Arial"/>
          <w:sz w:val="20"/>
          <w:szCs w:val="20"/>
        </w:rPr>
        <w:t>Zinc based antioxidant should be applied to the surfaces prior to installation of the lug.</w:t>
      </w:r>
    </w:p>
    <w:p w:rsidR="00017A92" w:rsidRDefault="00017A92" w:rsidP="00017A92">
      <w:pPr>
        <w:spacing w:after="0" w:line="240" w:lineRule="auto"/>
        <w:ind w:left="1440"/>
        <w:rPr>
          <w:rFonts w:ascii="Arial" w:hAnsi="Arial" w:cs="Arial"/>
          <w:sz w:val="20"/>
          <w:szCs w:val="20"/>
        </w:rPr>
      </w:pPr>
    </w:p>
    <w:p w:rsidR="00D924DB" w:rsidRDefault="00D924DB" w:rsidP="00D924DB">
      <w:pPr>
        <w:numPr>
          <w:ilvl w:val="0"/>
          <w:numId w:val="10"/>
        </w:numPr>
        <w:tabs>
          <w:tab w:val="clear" w:pos="360"/>
          <w:tab w:val="num" w:pos="1800"/>
        </w:tabs>
        <w:spacing w:after="0" w:line="240" w:lineRule="auto"/>
        <w:ind w:left="1800"/>
        <w:rPr>
          <w:rFonts w:ascii="Arial" w:hAnsi="Arial" w:cs="Arial"/>
          <w:sz w:val="20"/>
          <w:szCs w:val="20"/>
        </w:rPr>
      </w:pPr>
      <w:r w:rsidRPr="00D924DB">
        <w:rPr>
          <w:rFonts w:ascii="Arial" w:hAnsi="Arial" w:cs="Arial"/>
          <w:sz w:val="20"/>
          <w:szCs w:val="20"/>
        </w:rPr>
        <w:t>Multiple IDFs.  Stacked IDFs may be connected by TBBs in series.</w:t>
      </w:r>
    </w:p>
    <w:p w:rsidR="00017A92" w:rsidRDefault="00017A92" w:rsidP="00017A92">
      <w:pPr>
        <w:spacing w:after="0" w:line="240" w:lineRule="auto"/>
        <w:ind w:left="1440"/>
        <w:rPr>
          <w:rFonts w:ascii="Arial" w:hAnsi="Arial" w:cs="Arial"/>
          <w:sz w:val="20"/>
          <w:szCs w:val="20"/>
        </w:rPr>
      </w:pPr>
    </w:p>
    <w:p w:rsidR="009832C7" w:rsidRDefault="009832C7" w:rsidP="00D924DB">
      <w:pPr>
        <w:numPr>
          <w:ilvl w:val="0"/>
          <w:numId w:val="10"/>
        </w:numPr>
        <w:tabs>
          <w:tab w:val="clear" w:pos="360"/>
          <w:tab w:val="num" w:pos="1800"/>
        </w:tabs>
        <w:spacing w:after="0" w:line="240" w:lineRule="auto"/>
        <w:ind w:left="1800"/>
        <w:rPr>
          <w:rFonts w:ascii="Arial" w:hAnsi="Arial" w:cs="Arial"/>
          <w:sz w:val="20"/>
          <w:szCs w:val="20"/>
        </w:rPr>
      </w:pPr>
      <w:r>
        <w:rPr>
          <w:rFonts w:ascii="Arial" w:hAnsi="Arial" w:cs="Arial"/>
          <w:sz w:val="20"/>
          <w:szCs w:val="20"/>
        </w:rPr>
        <w:t>Secondary bonding.  The TMGB or TGBs will not be bonded to building steel, water pipes, etc. within the BDF or IDFs.</w:t>
      </w:r>
    </w:p>
    <w:p w:rsidR="004130AD" w:rsidRDefault="004130AD" w:rsidP="004130AD">
      <w:pPr>
        <w:spacing w:after="0" w:line="240" w:lineRule="auto"/>
        <w:ind w:left="1440"/>
        <w:rPr>
          <w:rFonts w:ascii="Arial" w:hAnsi="Arial" w:cs="Arial"/>
          <w:sz w:val="20"/>
          <w:szCs w:val="20"/>
        </w:rPr>
      </w:pPr>
    </w:p>
    <w:p w:rsidR="001410C1" w:rsidRDefault="004130AD" w:rsidP="00D924DB">
      <w:pPr>
        <w:numPr>
          <w:ilvl w:val="0"/>
          <w:numId w:val="10"/>
        </w:numPr>
        <w:tabs>
          <w:tab w:val="clear" w:pos="360"/>
          <w:tab w:val="num" w:pos="1800"/>
        </w:tabs>
        <w:spacing w:after="0" w:line="240" w:lineRule="auto"/>
        <w:ind w:left="1800"/>
        <w:rPr>
          <w:rFonts w:ascii="Arial" w:hAnsi="Arial" w:cs="Arial"/>
          <w:sz w:val="20"/>
          <w:szCs w:val="20"/>
        </w:rPr>
      </w:pPr>
      <w:r>
        <w:rPr>
          <w:rFonts w:ascii="Arial" w:hAnsi="Arial" w:cs="Arial"/>
          <w:sz w:val="20"/>
          <w:szCs w:val="20"/>
        </w:rPr>
        <w:t>Grounding lugs.  All lugs shall be two</w:t>
      </w:r>
      <w:r w:rsidR="00DB13C0">
        <w:rPr>
          <w:rFonts w:ascii="Arial" w:hAnsi="Arial" w:cs="Arial"/>
          <w:sz w:val="20"/>
          <w:szCs w:val="20"/>
        </w:rPr>
        <w:t>-</w:t>
      </w:r>
      <w:r w:rsidR="001410C1">
        <w:rPr>
          <w:rFonts w:ascii="Arial" w:hAnsi="Arial" w:cs="Arial"/>
          <w:sz w:val="20"/>
          <w:szCs w:val="20"/>
        </w:rPr>
        <w:t>hole</w:t>
      </w:r>
      <w:r>
        <w:rPr>
          <w:rFonts w:ascii="Arial" w:hAnsi="Arial" w:cs="Arial"/>
          <w:sz w:val="20"/>
          <w:szCs w:val="20"/>
        </w:rPr>
        <w:t xml:space="preserve"> type with both bolts installed.</w:t>
      </w:r>
      <w:r w:rsidR="005748EF">
        <w:rPr>
          <w:rFonts w:ascii="Arial" w:hAnsi="Arial" w:cs="Arial"/>
          <w:sz w:val="20"/>
          <w:szCs w:val="20"/>
        </w:rPr>
        <w:t xml:space="preserve">  Compression lugs shall be crimped a minimum of two times for each.</w:t>
      </w:r>
    </w:p>
    <w:p w:rsidR="00767898" w:rsidRDefault="00767898" w:rsidP="00767898">
      <w:pPr>
        <w:spacing w:after="0" w:line="240" w:lineRule="auto"/>
        <w:ind w:left="1440"/>
        <w:rPr>
          <w:rFonts w:ascii="Arial" w:hAnsi="Arial" w:cs="Arial"/>
          <w:sz w:val="20"/>
          <w:szCs w:val="20"/>
        </w:rPr>
      </w:pPr>
    </w:p>
    <w:p w:rsidR="00767898" w:rsidRDefault="00767898" w:rsidP="00D924DB">
      <w:pPr>
        <w:numPr>
          <w:ilvl w:val="0"/>
          <w:numId w:val="10"/>
        </w:numPr>
        <w:tabs>
          <w:tab w:val="clear" w:pos="360"/>
          <w:tab w:val="num" w:pos="1800"/>
        </w:tabs>
        <w:spacing w:after="0" w:line="240" w:lineRule="auto"/>
        <w:ind w:left="1800"/>
        <w:rPr>
          <w:rFonts w:ascii="Arial" w:hAnsi="Arial" w:cs="Arial"/>
          <w:sz w:val="20"/>
          <w:szCs w:val="20"/>
        </w:rPr>
      </w:pPr>
      <w:r>
        <w:rPr>
          <w:rFonts w:ascii="Arial" w:hAnsi="Arial" w:cs="Arial"/>
          <w:sz w:val="20"/>
          <w:szCs w:val="20"/>
        </w:rPr>
        <w:t>Bar preparation.  The mounting surfaces of the TMGB and TBBs should be cleaned with an abrasive pad.  A copper based antioxidant (included in the bar kit) should be applied prior to installation of mounting lugs.</w:t>
      </w:r>
    </w:p>
    <w:p w:rsidR="00767898" w:rsidRDefault="00767898" w:rsidP="00767898">
      <w:pPr>
        <w:spacing w:after="0" w:line="240" w:lineRule="auto"/>
        <w:ind w:left="1440"/>
        <w:rPr>
          <w:rFonts w:ascii="Arial" w:hAnsi="Arial" w:cs="Arial"/>
          <w:sz w:val="20"/>
          <w:szCs w:val="20"/>
        </w:rPr>
      </w:pPr>
    </w:p>
    <w:p w:rsidR="00767898" w:rsidRDefault="00767898" w:rsidP="00D924DB">
      <w:pPr>
        <w:numPr>
          <w:ilvl w:val="0"/>
          <w:numId w:val="10"/>
        </w:numPr>
        <w:tabs>
          <w:tab w:val="clear" w:pos="360"/>
          <w:tab w:val="num" w:pos="1800"/>
        </w:tabs>
        <w:spacing w:after="0" w:line="240" w:lineRule="auto"/>
        <w:ind w:left="1800"/>
        <w:rPr>
          <w:rFonts w:ascii="Arial" w:hAnsi="Arial" w:cs="Arial"/>
          <w:sz w:val="20"/>
          <w:szCs w:val="20"/>
        </w:rPr>
      </w:pPr>
      <w:r>
        <w:rPr>
          <w:rFonts w:ascii="Arial" w:hAnsi="Arial" w:cs="Arial"/>
          <w:sz w:val="20"/>
          <w:szCs w:val="20"/>
        </w:rPr>
        <w:t>Insulation.  All grounding conductors shall have a green plastic insulating sheath.</w:t>
      </w:r>
    </w:p>
    <w:sectPr w:rsidR="00767898"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DF" w:rsidRDefault="005475DF" w:rsidP="008F6DBE">
      <w:pPr>
        <w:spacing w:after="0" w:line="240" w:lineRule="auto"/>
      </w:pPr>
      <w:r>
        <w:separator/>
      </w:r>
    </w:p>
  </w:endnote>
  <w:endnote w:type="continuationSeparator" w:id="0">
    <w:p w:rsidR="005475DF" w:rsidRDefault="005475DF"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DF" w:rsidRPr="008F6DBE" w:rsidRDefault="005475DF"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05</w:t>
    </w:r>
    <w:r w:rsidRPr="008F6DBE">
      <w:rPr>
        <w:rFonts w:ascii="Arial Narrow" w:hAnsi="Arial Narrow"/>
        <w:sz w:val="20"/>
      </w:rPr>
      <w:t xml:space="preserve"> </w:t>
    </w:r>
    <w:r>
      <w:rPr>
        <w:rFonts w:ascii="Arial Narrow" w:hAnsi="Arial Narrow"/>
        <w:sz w:val="20"/>
      </w:rPr>
      <w:t xml:space="preserve">26 Grounding and Bonding for Communication </w:t>
    </w:r>
    <w:r w:rsidRPr="008F6DBE">
      <w:rPr>
        <w:rFonts w:ascii="Arial Narrow" w:hAnsi="Arial Narrow"/>
        <w:sz w:val="20"/>
      </w:rPr>
      <w:t>Systems</w:t>
    </w:r>
    <w:r w:rsidRPr="008F6DBE">
      <w:rPr>
        <w:rFonts w:ascii="Arial Narrow" w:hAnsi="Arial Narrow"/>
        <w:sz w:val="20"/>
      </w:rPr>
      <w:tab/>
      <w:t xml:space="preserve">Page </w:t>
    </w:r>
    <w:r w:rsidR="00035F65" w:rsidRPr="008F6DBE">
      <w:rPr>
        <w:rFonts w:ascii="Arial Narrow" w:hAnsi="Arial Narrow"/>
        <w:sz w:val="20"/>
      </w:rPr>
      <w:fldChar w:fldCharType="begin"/>
    </w:r>
    <w:r w:rsidRPr="008F6DBE">
      <w:rPr>
        <w:rFonts w:ascii="Arial Narrow" w:hAnsi="Arial Narrow"/>
        <w:sz w:val="20"/>
      </w:rPr>
      <w:instrText xml:space="preserve"> PAGE   \* MERGEFORMAT </w:instrText>
    </w:r>
    <w:r w:rsidR="00035F65" w:rsidRPr="008F6DBE">
      <w:rPr>
        <w:rFonts w:ascii="Arial Narrow" w:hAnsi="Arial Narrow"/>
        <w:sz w:val="20"/>
      </w:rPr>
      <w:fldChar w:fldCharType="separate"/>
    </w:r>
    <w:r w:rsidR="00457A38">
      <w:rPr>
        <w:rFonts w:ascii="Arial Narrow" w:hAnsi="Arial Narrow"/>
        <w:noProof/>
        <w:sz w:val="20"/>
      </w:rPr>
      <w:t>3</w:t>
    </w:r>
    <w:r w:rsidR="00035F65" w:rsidRPr="008F6DBE">
      <w:rPr>
        <w:rFonts w:ascii="Arial Narrow" w:hAnsi="Arial Narrow"/>
        <w:sz w:val="20"/>
      </w:rPr>
      <w:fldChar w:fldCharType="end"/>
    </w:r>
  </w:p>
  <w:p w:rsidR="005475DF" w:rsidRDefault="00547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DF" w:rsidRDefault="005475DF" w:rsidP="008F6DBE">
      <w:pPr>
        <w:spacing w:after="0" w:line="240" w:lineRule="auto"/>
      </w:pPr>
      <w:r>
        <w:separator/>
      </w:r>
    </w:p>
  </w:footnote>
  <w:footnote w:type="continuationSeparator" w:id="0">
    <w:p w:rsidR="005475DF" w:rsidRDefault="005475DF"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F22A12"/>
    <w:multiLevelType w:val="multilevel"/>
    <w:tmpl w:val="2FB0BDC8"/>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5"/>
      <w:numFmt w:val="upperLetter"/>
      <w:lvlText w:val="%3."/>
      <w:lvlJc w:val="left"/>
      <w:pPr>
        <w:tabs>
          <w:tab w:val="num" w:pos="1800"/>
        </w:tabs>
        <w:ind w:left="1800" w:hanging="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271106"/>
    <w:multiLevelType w:val="hybridMultilevel"/>
    <w:tmpl w:val="A28AFFA2"/>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ED58C2"/>
    <w:multiLevelType w:val="hybridMultilevel"/>
    <w:tmpl w:val="A698A0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851B0"/>
    <w:multiLevelType w:val="hybridMultilevel"/>
    <w:tmpl w:val="2CAC4AA0"/>
    <w:lvl w:ilvl="0" w:tplc="04090015">
      <w:start w:val="1"/>
      <w:numFmt w:val="upperLetter"/>
      <w:lvlText w:val="%1."/>
      <w:lvlJc w:val="left"/>
      <w:pPr>
        <w:tabs>
          <w:tab w:val="num" w:pos="3060"/>
        </w:tabs>
        <w:ind w:left="30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D2661E"/>
    <w:multiLevelType w:val="hybridMultilevel"/>
    <w:tmpl w:val="BFD4A28C"/>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5C381E"/>
    <w:multiLevelType w:val="hybridMultilevel"/>
    <w:tmpl w:val="09E4F00E"/>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731100"/>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BDE7211"/>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6B025F"/>
    <w:multiLevelType w:val="singleLevel"/>
    <w:tmpl w:val="0409000F"/>
    <w:lvl w:ilvl="0">
      <w:start w:val="1"/>
      <w:numFmt w:val="decimal"/>
      <w:lvlText w:val="%1."/>
      <w:lvlJc w:val="left"/>
      <w:pPr>
        <w:tabs>
          <w:tab w:val="num" w:pos="360"/>
        </w:tabs>
        <w:ind w:left="360" w:hanging="360"/>
      </w:pPr>
    </w:lvl>
  </w:abstractNum>
  <w:abstractNum w:abstractNumId="10">
    <w:nsid w:val="0E87167F"/>
    <w:multiLevelType w:val="hybridMultilevel"/>
    <w:tmpl w:val="3E1E82B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D43B4"/>
    <w:multiLevelType w:val="hybridMultilevel"/>
    <w:tmpl w:val="4F445E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900FD5"/>
    <w:multiLevelType w:val="multilevel"/>
    <w:tmpl w:val="E0C6B3F2"/>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5"/>
      <w:numFmt w:val="upperLetter"/>
      <w:lvlText w:val="%3."/>
      <w:lvlJc w:val="left"/>
      <w:pPr>
        <w:tabs>
          <w:tab w:val="num" w:pos="1800"/>
        </w:tabs>
        <w:ind w:left="1800" w:hanging="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0034E93"/>
    <w:multiLevelType w:val="singleLevel"/>
    <w:tmpl w:val="0409000F"/>
    <w:lvl w:ilvl="0">
      <w:start w:val="1"/>
      <w:numFmt w:val="decimal"/>
      <w:lvlText w:val="%1."/>
      <w:lvlJc w:val="left"/>
      <w:pPr>
        <w:tabs>
          <w:tab w:val="num" w:pos="360"/>
        </w:tabs>
        <w:ind w:left="360" w:hanging="360"/>
      </w:pPr>
    </w:lvl>
  </w:abstractNum>
  <w:abstractNum w:abstractNumId="14">
    <w:nsid w:val="20935135"/>
    <w:multiLevelType w:val="multilevel"/>
    <w:tmpl w:val="FA7C258E"/>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0C72BDB"/>
    <w:multiLevelType w:val="hybridMultilevel"/>
    <w:tmpl w:val="185285F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8F2314"/>
    <w:multiLevelType w:val="hybridMultilevel"/>
    <w:tmpl w:val="E3167DB6"/>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F71C1"/>
    <w:multiLevelType w:val="hybridMultilevel"/>
    <w:tmpl w:val="A7C48B5E"/>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91341B"/>
    <w:multiLevelType w:val="hybridMultilevel"/>
    <w:tmpl w:val="5524B2D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C93522"/>
    <w:multiLevelType w:val="hybridMultilevel"/>
    <w:tmpl w:val="E3F26430"/>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ED70E6"/>
    <w:multiLevelType w:val="hybridMultilevel"/>
    <w:tmpl w:val="F58448EC"/>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0F6FCA"/>
    <w:multiLevelType w:val="hybridMultilevel"/>
    <w:tmpl w:val="3E1E82B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FD2C65"/>
    <w:multiLevelType w:val="singleLevel"/>
    <w:tmpl w:val="0409000F"/>
    <w:lvl w:ilvl="0">
      <w:start w:val="1"/>
      <w:numFmt w:val="decimal"/>
      <w:lvlText w:val="%1."/>
      <w:lvlJc w:val="left"/>
      <w:pPr>
        <w:tabs>
          <w:tab w:val="num" w:pos="360"/>
        </w:tabs>
        <w:ind w:left="360" w:hanging="360"/>
      </w:pPr>
    </w:lvl>
  </w:abstractNum>
  <w:abstractNum w:abstractNumId="23">
    <w:nsid w:val="2B2867DA"/>
    <w:multiLevelType w:val="singleLevel"/>
    <w:tmpl w:val="0409000F"/>
    <w:lvl w:ilvl="0">
      <w:start w:val="1"/>
      <w:numFmt w:val="decimal"/>
      <w:lvlText w:val="%1."/>
      <w:lvlJc w:val="left"/>
      <w:pPr>
        <w:tabs>
          <w:tab w:val="num" w:pos="360"/>
        </w:tabs>
        <w:ind w:left="360" w:hanging="360"/>
      </w:pPr>
    </w:lvl>
  </w:abstractNum>
  <w:abstractNum w:abstractNumId="24">
    <w:nsid w:val="2B3D0086"/>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EB33E4F"/>
    <w:multiLevelType w:val="hybridMultilevel"/>
    <w:tmpl w:val="FD8CA8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C453CB"/>
    <w:multiLevelType w:val="hybridMultilevel"/>
    <w:tmpl w:val="CE3EBA9C"/>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1A0280"/>
    <w:multiLevelType w:val="hybridMultilevel"/>
    <w:tmpl w:val="2CDC6F24"/>
    <w:lvl w:ilvl="0" w:tplc="56E4C49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31955C7F"/>
    <w:multiLevelType w:val="multilevel"/>
    <w:tmpl w:val="7804BC76"/>
    <w:lvl w:ilvl="0">
      <w:start w:val="1"/>
      <w:numFmt w:val="decimal"/>
      <w:lvlText w:val="%1"/>
      <w:lvlJc w:val="left"/>
      <w:pPr>
        <w:tabs>
          <w:tab w:val="num" w:pos="720"/>
        </w:tabs>
        <w:ind w:left="720" w:hanging="720"/>
      </w:pPr>
      <w:rPr>
        <w:rFonts w:hint="default"/>
      </w:rPr>
    </w:lvl>
    <w:lvl w:ilvl="1">
      <w:start w:val="1"/>
      <w:numFmt w:val="decimalZero"/>
      <w:lvlText w:val="3.%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3A86531"/>
    <w:multiLevelType w:val="singleLevel"/>
    <w:tmpl w:val="04090015"/>
    <w:lvl w:ilvl="0">
      <w:start w:val="1"/>
      <w:numFmt w:val="upperLetter"/>
      <w:lvlText w:val="%1."/>
      <w:lvlJc w:val="left"/>
      <w:pPr>
        <w:ind w:left="1080" w:hanging="360"/>
      </w:pPr>
      <w:rPr>
        <w:rFonts w:hint="default"/>
      </w:rPr>
    </w:lvl>
  </w:abstractNum>
  <w:abstractNum w:abstractNumId="30">
    <w:nsid w:val="35AF334F"/>
    <w:multiLevelType w:val="hybridMultilevel"/>
    <w:tmpl w:val="9CB07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5614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7F43E6F"/>
    <w:multiLevelType w:val="multilevel"/>
    <w:tmpl w:val="98DCB45A"/>
    <w:lvl w:ilvl="0">
      <w:start w:val="1"/>
      <w:numFmt w:val="decimal"/>
      <w:lvlText w:val="%1"/>
      <w:lvlJc w:val="left"/>
      <w:pPr>
        <w:tabs>
          <w:tab w:val="num" w:pos="720"/>
        </w:tabs>
        <w:ind w:left="720" w:hanging="720"/>
      </w:pPr>
      <w:rPr>
        <w:rFonts w:hint="default"/>
      </w:rPr>
    </w:lvl>
    <w:lvl w:ilvl="1">
      <w:start w:val="1"/>
      <w:numFmt w:val="none"/>
      <w:lvlText w:val="2.0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C0A0DEE"/>
    <w:multiLevelType w:val="hybridMultilevel"/>
    <w:tmpl w:val="3A82D8C8"/>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E0B74A6"/>
    <w:multiLevelType w:val="multilevel"/>
    <w:tmpl w:val="9C26FCB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4309680F"/>
    <w:multiLevelType w:val="hybridMultilevel"/>
    <w:tmpl w:val="8DE88F74"/>
    <w:lvl w:ilvl="0" w:tplc="56E4C49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4A6C5866"/>
    <w:multiLevelType w:val="hybridMultilevel"/>
    <w:tmpl w:val="06B8FB4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4C4C41FC"/>
    <w:multiLevelType w:val="hybridMultilevel"/>
    <w:tmpl w:val="3612AB5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BC40D1"/>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5237412B"/>
    <w:multiLevelType w:val="hybridMultilevel"/>
    <w:tmpl w:val="185285F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54977DCA"/>
    <w:multiLevelType w:val="hybridMultilevel"/>
    <w:tmpl w:val="185285F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74C553D"/>
    <w:multiLevelType w:val="hybridMultilevel"/>
    <w:tmpl w:val="EBF2691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2B69EA"/>
    <w:multiLevelType w:val="singleLevel"/>
    <w:tmpl w:val="0409000F"/>
    <w:lvl w:ilvl="0">
      <w:start w:val="1"/>
      <w:numFmt w:val="decimal"/>
      <w:lvlText w:val="%1."/>
      <w:lvlJc w:val="left"/>
      <w:pPr>
        <w:tabs>
          <w:tab w:val="num" w:pos="360"/>
        </w:tabs>
        <w:ind w:left="360" w:hanging="360"/>
      </w:pPr>
    </w:lvl>
  </w:abstractNum>
  <w:abstractNum w:abstractNumId="44">
    <w:nsid w:val="5B2030C3"/>
    <w:multiLevelType w:val="multilevel"/>
    <w:tmpl w:val="0E9A9BA0"/>
    <w:lvl w:ilvl="0">
      <w:start w:val="1"/>
      <w:numFmt w:val="decimal"/>
      <w:lvlText w:val="%1"/>
      <w:lvlJc w:val="left"/>
      <w:pPr>
        <w:tabs>
          <w:tab w:val="num" w:pos="720"/>
        </w:tabs>
        <w:ind w:left="720" w:hanging="720"/>
      </w:pPr>
      <w:rPr>
        <w:rFonts w:hint="default"/>
      </w:rPr>
    </w:lvl>
    <w:lvl w:ilvl="1">
      <w:start w:val="1"/>
      <w:numFmt w:val="none"/>
      <w:lvlText w:val="2.01"/>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5B564853"/>
    <w:multiLevelType w:val="hybridMultilevel"/>
    <w:tmpl w:val="B4C6C170"/>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417A37"/>
    <w:multiLevelType w:val="hybridMultilevel"/>
    <w:tmpl w:val="E3F26430"/>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3B17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60E736CA"/>
    <w:multiLevelType w:val="hybridMultilevel"/>
    <w:tmpl w:val="603AEDDE"/>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D3590F"/>
    <w:multiLevelType w:val="hybridMultilevel"/>
    <w:tmpl w:val="9CB07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5A95145"/>
    <w:multiLevelType w:val="multilevel"/>
    <w:tmpl w:val="4BDA4718"/>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67492503"/>
    <w:multiLevelType w:val="hybridMultilevel"/>
    <w:tmpl w:val="1D34A1A2"/>
    <w:lvl w:ilvl="0" w:tplc="DD4086D0">
      <w:start w:val="1"/>
      <w:numFmt w:val="upperLetter"/>
      <w:lvlText w:val="%1."/>
      <w:lvlJc w:val="left"/>
      <w:pPr>
        <w:ind w:left="1080" w:hanging="360"/>
      </w:pPr>
      <w:rPr>
        <w:rFonts w:ascii="Arial" w:hAnsi="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B4053B0"/>
    <w:multiLevelType w:val="hybridMultilevel"/>
    <w:tmpl w:val="54888036"/>
    <w:lvl w:ilvl="0" w:tplc="04090011">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3">
    <w:nsid w:val="6B6A0E46"/>
    <w:multiLevelType w:val="hybridMultilevel"/>
    <w:tmpl w:val="A744510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C5F4EA5"/>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6E341C9F"/>
    <w:multiLevelType w:val="hybridMultilevel"/>
    <w:tmpl w:val="1AEC4430"/>
    <w:lvl w:ilvl="0" w:tplc="56E4C49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6">
    <w:nsid w:val="79D66B23"/>
    <w:multiLevelType w:val="multilevel"/>
    <w:tmpl w:val="A390789A"/>
    <w:lvl w:ilvl="0">
      <w:start w:val="2"/>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42"/>
  </w:num>
  <w:num w:numId="3">
    <w:abstractNumId w:val="51"/>
  </w:num>
  <w:num w:numId="4">
    <w:abstractNumId w:val="40"/>
  </w:num>
  <w:num w:numId="5">
    <w:abstractNumId w:val="47"/>
  </w:num>
  <w:num w:numId="6">
    <w:abstractNumId w:val="56"/>
  </w:num>
  <w:num w:numId="7">
    <w:abstractNumId w:val="22"/>
  </w:num>
  <w:num w:numId="8">
    <w:abstractNumId w:val="31"/>
  </w:num>
  <w:num w:numId="9">
    <w:abstractNumId w:val="29"/>
  </w:num>
  <w:num w:numId="10">
    <w:abstractNumId w:val="43"/>
  </w:num>
  <w:num w:numId="11">
    <w:abstractNumId w:val="13"/>
  </w:num>
  <w:num w:numId="12">
    <w:abstractNumId w:val="9"/>
  </w:num>
  <w:num w:numId="13">
    <w:abstractNumId w:val="23"/>
  </w:num>
  <w:num w:numId="14">
    <w:abstractNumId w:val="1"/>
  </w:num>
  <w:num w:numId="15">
    <w:abstractNumId w:val="12"/>
  </w:num>
  <w:num w:numId="16">
    <w:abstractNumId w:val="50"/>
  </w:num>
  <w:num w:numId="17">
    <w:abstractNumId w:val="34"/>
  </w:num>
  <w:num w:numId="18">
    <w:abstractNumId w:val="0"/>
  </w:num>
  <w:num w:numId="19">
    <w:abstractNumId w:val="52"/>
  </w:num>
  <w:num w:numId="20">
    <w:abstractNumId w:val="36"/>
  </w:num>
  <w:num w:numId="21">
    <w:abstractNumId w:val="55"/>
  </w:num>
  <w:num w:numId="22">
    <w:abstractNumId w:val="28"/>
  </w:num>
  <w:num w:numId="23">
    <w:abstractNumId w:val="44"/>
  </w:num>
  <w:num w:numId="24">
    <w:abstractNumId w:val="37"/>
  </w:num>
  <w:num w:numId="25">
    <w:abstractNumId w:val="18"/>
  </w:num>
  <w:num w:numId="26">
    <w:abstractNumId w:val="46"/>
  </w:num>
  <w:num w:numId="27">
    <w:abstractNumId w:val="2"/>
  </w:num>
  <w:num w:numId="28">
    <w:abstractNumId w:val="53"/>
  </w:num>
  <w:num w:numId="29">
    <w:abstractNumId w:val="6"/>
  </w:num>
  <w:num w:numId="30">
    <w:abstractNumId w:val="16"/>
  </w:num>
  <w:num w:numId="31">
    <w:abstractNumId w:val="20"/>
  </w:num>
  <w:num w:numId="32">
    <w:abstractNumId w:val="33"/>
  </w:num>
  <w:num w:numId="33">
    <w:abstractNumId w:val="27"/>
  </w:num>
  <w:num w:numId="34">
    <w:abstractNumId w:val="4"/>
  </w:num>
  <w:num w:numId="35">
    <w:abstractNumId w:val="48"/>
  </w:num>
  <w:num w:numId="36">
    <w:abstractNumId w:val="35"/>
  </w:num>
  <w:num w:numId="37">
    <w:abstractNumId w:val="5"/>
  </w:num>
  <w:num w:numId="38">
    <w:abstractNumId w:val="26"/>
  </w:num>
  <w:num w:numId="39">
    <w:abstractNumId w:val="41"/>
  </w:num>
  <w:num w:numId="40">
    <w:abstractNumId w:val="17"/>
  </w:num>
  <w:num w:numId="41">
    <w:abstractNumId w:val="45"/>
  </w:num>
  <w:num w:numId="42">
    <w:abstractNumId w:val="54"/>
  </w:num>
  <w:num w:numId="43">
    <w:abstractNumId w:val="24"/>
  </w:num>
  <w:num w:numId="44">
    <w:abstractNumId w:val="38"/>
  </w:num>
  <w:num w:numId="45">
    <w:abstractNumId w:val="32"/>
  </w:num>
  <w:num w:numId="46">
    <w:abstractNumId w:val="19"/>
  </w:num>
  <w:num w:numId="47">
    <w:abstractNumId w:val="10"/>
  </w:num>
  <w:num w:numId="48">
    <w:abstractNumId w:val="21"/>
  </w:num>
  <w:num w:numId="49">
    <w:abstractNumId w:val="15"/>
  </w:num>
  <w:num w:numId="50">
    <w:abstractNumId w:val="39"/>
  </w:num>
  <w:num w:numId="51">
    <w:abstractNumId w:val="8"/>
  </w:num>
  <w:num w:numId="52">
    <w:abstractNumId w:val="14"/>
  </w:num>
  <w:num w:numId="53">
    <w:abstractNumId w:val="7"/>
  </w:num>
  <w:num w:numId="54">
    <w:abstractNumId w:val="30"/>
  </w:num>
  <w:num w:numId="55">
    <w:abstractNumId w:val="25"/>
  </w:num>
  <w:num w:numId="56">
    <w:abstractNumId w:val="49"/>
  </w:num>
  <w:num w:numId="57">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115A"/>
    <w:rsid w:val="000016A4"/>
    <w:rsid w:val="00004CA1"/>
    <w:rsid w:val="00004E88"/>
    <w:rsid w:val="00006BE0"/>
    <w:rsid w:val="0000774F"/>
    <w:rsid w:val="0001186F"/>
    <w:rsid w:val="00013CFA"/>
    <w:rsid w:val="00017A92"/>
    <w:rsid w:val="0002297C"/>
    <w:rsid w:val="000271D6"/>
    <w:rsid w:val="00035F65"/>
    <w:rsid w:val="000413DD"/>
    <w:rsid w:val="000600A1"/>
    <w:rsid w:val="000614A4"/>
    <w:rsid w:val="00067192"/>
    <w:rsid w:val="00080FF4"/>
    <w:rsid w:val="0008177A"/>
    <w:rsid w:val="00090437"/>
    <w:rsid w:val="00092184"/>
    <w:rsid w:val="000947BD"/>
    <w:rsid w:val="00097CC4"/>
    <w:rsid w:val="000A0CBD"/>
    <w:rsid w:val="000A4CD2"/>
    <w:rsid w:val="000A4DC4"/>
    <w:rsid w:val="000A7784"/>
    <w:rsid w:val="000C6A5E"/>
    <w:rsid w:val="000C70DF"/>
    <w:rsid w:val="000D48AC"/>
    <w:rsid w:val="000D52E4"/>
    <w:rsid w:val="000E1832"/>
    <w:rsid w:val="000E19E6"/>
    <w:rsid w:val="000E1E52"/>
    <w:rsid w:val="000E3711"/>
    <w:rsid w:val="000F1C38"/>
    <w:rsid w:val="000F5FD3"/>
    <w:rsid w:val="000F7541"/>
    <w:rsid w:val="00101366"/>
    <w:rsid w:val="00106A68"/>
    <w:rsid w:val="00107696"/>
    <w:rsid w:val="001111C3"/>
    <w:rsid w:val="00115BC5"/>
    <w:rsid w:val="00122D7A"/>
    <w:rsid w:val="001262F9"/>
    <w:rsid w:val="00134DE2"/>
    <w:rsid w:val="00136C6D"/>
    <w:rsid w:val="00137781"/>
    <w:rsid w:val="001410C1"/>
    <w:rsid w:val="00141FC9"/>
    <w:rsid w:val="00151A4F"/>
    <w:rsid w:val="00151FBF"/>
    <w:rsid w:val="00156E36"/>
    <w:rsid w:val="00157920"/>
    <w:rsid w:val="0016267E"/>
    <w:rsid w:val="0016293B"/>
    <w:rsid w:val="00162A1A"/>
    <w:rsid w:val="001638DC"/>
    <w:rsid w:val="001669B5"/>
    <w:rsid w:val="00172A72"/>
    <w:rsid w:val="00176D6A"/>
    <w:rsid w:val="00180E12"/>
    <w:rsid w:val="00182503"/>
    <w:rsid w:val="00182DFF"/>
    <w:rsid w:val="00187709"/>
    <w:rsid w:val="00191781"/>
    <w:rsid w:val="00192646"/>
    <w:rsid w:val="00197FD3"/>
    <w:rsid w:val="001A20E7"/>
    <w:rsid w:val="001B38B0"/>
    <w:rsid w:val="001B54C8"/>
    <w:rsid w:val="001B7904"/>
    <w:rsid w:val="001D3596"/>
    <w:rsid w:val="001D51A5"/>
    <w:rsid w:val="001E5961"/>
    <w:rsid w:val="001E7CE4"/>
    <w:rsid w:val="001F26AE"/>
    <w:rsid w:val="001F39E3"/>
    <w:rsid w:val="002045C9"/>
    <w:rsid w:val="00204B90"/>
    <w:rsid w:val="00206178"/>
    <w:rsid w:val="00213786"/>
    <w:rsid w:val="002263F4"/>
    <w:rsid w:val="00232285"/>
    <w:rsid w:val="00241F74"/>
    <w:rsid w:val="00244D14"/>
    <w:rsid w:val="00250120"/>
    <w:rsid w:val="002504EB"/>
    <w:rsid w:val="00251477"/>
    <w:rsid w:val="00252330"/>
    <w:rsid w:val="002664BF"/>
    <w:rsid w:val="00266EBC"/>
    <w:rsid w:val="002945A6"/>
    <w:rsid w:val="00295533"/>
    <w:rsid w:val="002A747E"/>
    <w:rsid w:val="002C38F5"/>
    <w:rsid w:val="002D61B4"/>
    <w:rsid w:val="002E4927"/>
    <w:rsid w:val="002E53F9"/>
    <w:rsid w:val="002E6133"/>
    <w:rsid w:val="002F02D7"/>
    <w:rsid w:val="002F15AF"/>
    <w:rsid w:val="002F36D3"/>
    <w:rsid w:val="002F6F9B"/>
    <w:rsid w:val="00300224"/>
    <w:rsid w:val="00302D00"/>
    <w:rsid w:val="00306E40"/>
    <w:rsid w:val="00310DAD"/>
    <w:rsid w:val="00310EF7"/>
    <w:rsid w:val="00311DF1"/>
    <w:rsid w:val="003164EC"/>
    <w:rsid w:val="00322D37"/>
    <w:rsid w:val="003257E4"/>
    <w:rsid w:val="00334A00"/>
    <w:rsid w:val="00334D5F"/>
    <w:rsid w:val="00335799"/>
    <w:rsid w:val="003406C2"/>
    <w:rsid w:val="00341D6C"/>
    <w:rsid w:val="003427ED"/>
    <w:rsid w:val="00343306"/>
    <w:rsid w:val="0035251A"/>
    <w:rsid w:val="00352B48"/>
    <w:rsid w:val="00361E89"/>
    <w:rsid w:val="00363311"/>
    <w:rsid w:val="00367EB2"/>
    <w:rsid w:val="00371B46"/>
    <w:rsid w:val="00376250"/>
    <w:rsid w:val="00377959"/>
    <w:rsid w:val="0038021E"/>
    <w:rsid w:val="003958A3"/>
    <w:rsid w:val="003B48EB"/>
    <w:rsid w:val="003B65F4"/>
    <w:rsid w:val="003C611B"/>
    <w:rsid w:val="003D781D"/>
    <w:rsid w:val="003E13CC"/>
    <w:rsid w:val="003E4A90"/>
    <w:rsid w:val="003E4CD6"/>
    <w:rsid w:val="003E4D3A"/>
    <w:rsid w:val="003E74E3"/>
    <w:rsid w:val="003F346D"/>
    <w:rsid w:val="0040656E"/>
    <w:rsid w:val="004130AD"/>
    <w:rsid w:val="004211BA"/>
    <w:rsid w:val="0042367F"/>
    <w:rsid w:val="00425325"/>
    <w:rsid w:val="00427BA2"/>
    <w:rsid w:val="00433B3E"/>
    <w:rsid w:val="00433B45"/>
    <w:rsid w:val="00433C41"/>
    <w:rsid w:val="0043537E"/>
    <w:rsid w:val="0044344B"/>
    <w:rsid w:val="00443AF3"/>
    <w:rsid w:val="00444305"/>
    <w:rsid w:val="004523AD"/>
    <w:rsid w:val="00454DEB"/>
    <w:rsid w:val="004564D8"/>
    <w:rsid w:val="0045723D"/>
    <w:rsid w:val="00457A38"/>
    <w:rsid w:val="00460C34"/>
    <w:rsid w:val="0046632A"/>
    <w:rsid w:val="004803EF"/>
    <w:rsid w:val="004860F1"/>
    <w:rsid w:val="004954DB"/>
    <w:rsid w:val="004969B4"/>
    <w:rsid w:val="004A0DDA"/>
    <w:rsid w:val="004B450C"/>
    <w:rsid w:val="004B501B"/>
    <w:rsid w:val="004E4C0E"/>
    <w:rsid w:val="004E5970"/>
    <w:rsid w:val="004E7539"/>
    <w:rsid w:val="004F651A"/>
    <w:rsid w:val="004F6FA9"/>
    <w:rsid w:val="004F7F4D"/>
    <w:rsid w:val="00501761"/>
    <w:rsid w:val="00501B2A"/>
    <w:rsid w:val="00501CEE"/>
    <w:rsid w:val="00503BBD"/>
    <w:rsid w:val="005119A8"/>
    <w:rsid w:val="00513F43"/>
    <w:rsid w:val="0051629F"/>
    <w:rsid w:val="00520247"/>
    <w:rsid w:val="0052439F"/>
    <w:rsid w:val="00535820"/>
    <w:rsid w:val="005424F6"/>
    <w:rsid w:val="0054445F"/>
    <w:rsid w:val="005475DF"/>
    <w:rsid w:val="00552890"/>
    <w:rsid w:val="00557CA3"/>
    <w:rsid w:val="00567D47"/>
    <w:rsid w:val="00570714"/>
    <w:rsid w:val="00570F06"/>
    <w:rsid w:val="00570F6A"/>
    <w:rsid w:val="005748EF"/>
    <w:rsid w:val="00582496"/>
    <w:rsid w:val="00590C2E"/>
    <w:rsid w:val="00592BB4"/>
    <w:rsid w:val="005952FC"/>
    <w:rsid w:val="00595926"/>
    <w:rsid w:val="00597A85"/>
    <w:rsid w:val="005A3660"/>
    <w:rsid w:val="005A4023"/>
    <w:rsid w:val="005A763E"/>
    <w:rsid w:val="005B27BF"/>
    <w:rsid w:val="005D15A7"/>
    <w:rsid w:val="005D43C7"/>
    <w:rsid w:val="005D59C1"/>
    <w:rsid w:val="005E02E4"/>
    <w:rsid w:val="005E244C"/>
    <w:rsid w:val="005F1147"/>
    <w:rsid w:val="005F382F"/>
    <w:rsid w:val="00601F12"/>
    <w:rsid w:val="006026CC"/>
    <w:rsid w:val="00603DE6"/>
    <w:rsid w:val="00607839"/>
    <w:rsid w:val="0061428E"/>
    <w:rsid w:val="00614EF2"/>
    <w:rsid w:val="00617FEE"/>
    <w:rsid w:val="00624AE2"/>
    <w:rsid w:val="0062588E"/>
    <w:rsid w:val="00630D54"/>
    <w:rsid w:val="0063397B"/>
    <w:rsid w:val="00633E5E"/>
    <w:rsid w:val="00634DC7"/>
    <w:rsid w:val="006428BD"/>
    <w:rsid w:val="00644423"/>
    <w:rsid w:val="00645356"/>
    <w:rsid w:val="0065113E"/>
    <w:rsid w:val="00652985"/>
    <w:rsid w:val="00655CCB"/>
    <w:rsid w:val="0065785C"/>
    <w:rsid w:val="00661262"/>
    <w:rsid w:val="006665D0"/>
    <w:rsid w:val="00666E86"/>
    <w:rsid w:val="006676D9"/>
    <w:rsid w:val="00675007"/>
    <w:rsid w:val="00693308"/>
    <w:rsid w:val="00693438"/>
    <w:rsid w:val="00694825"/>
    <w:rsid w:val="006A2C75"/>
    <w:rsid w:val="006A6BE8"/>
    <w:rsid w:val="006B3F9E"/>
    <w:rsid w:val="006B5DBD"/>
    <w:rsid w:val="006C1116"/>
    <w:rsid w:val="006C752E"/>
    <w:rsid w:val="006C7FD6"/>
    <w:rsid w:val="006D1262"/>
    <w:rsid w:val="006E0675"/>
    <w:rsid w:val="006E5C11"/>
    <w:rsid w:val="006F08E8"/>
    <w:rsid w:val="006F2F02"/>
    <w:rsid w:val="006F371F"/>
    <w:rsid w:val="00702423"/>
    <w:rsid w:val="00702852"/>
    <w:rsid w:val="007046B1"/>
    <w:rsid w:val="0070658A"/>
    <w:rsid w:val="007065DB"/>
    <w:rsid w:val="00712AE7"/>
    <w:rsid w:val="00715BA8"/>
    <w:rsid w:val="00715D9D"/>
    <w:rsid w:val="00717A15"/>
    <w:rsid w:val="00721D6A"/>
    <w:rsid w:val="00722EB5"/>
    <w:rsid w:val="00723358"/>
    <w:rsid w:val="00723B02"/>
    <w:rsid w:val="00724855"/>
    <w:rsid w:val="00724873"/>
    <w:rsid w:val="00730A6B"/>
    <w:rsid w:val="00731535"/>
    <w:rsid w:val="00736372"/>
    <w:rsid w:val="0074543E"/>
    <w:rsid w:val="00751DBD"/>
    <w:rsid w:val="00753AED"/>
    <w:rsid w:val="00753E65"/>
    <w:rsid w:val="00753F73"/>
    <w:rsid w:val="00756398"/>
    <w:rsid w:val="00757D2C"/>
    <w:rsid w:val="0076241B"/>
    <w:rsid w:val="007638A8"/>
    <w:rsid w:val="00767898"/>
    <w:rsid w:val="007700D8"/>
    <w:rsid w:val="00773CB4"/>
    <w:rsid w:val="0077540F"/>
    <w:rsid w:val="007A0228"/>
    <w:rsid w:val="007B1D18"/>
    <w:rsid w:val="007B6E19"/>
    <w:rsid w:val="007C09F7"/>
    <w:rsid w:val="007C3558"/>
    <w:rsid w:val="007C7A01"/>
    <w:rsid w:val="007D0A89"/>
    <w:rsid w:val="007E0B08"/>
    <w:rsid w:val="007E309E"/>
    <w:rsid w:val="007F5EE3"/>
    <w:rsid w:val="007F6094"/>
    <w:rsid w:val="007F77CC"/>
    <w:rsid w:val="00801D8E"/>
    <w:rsid w:val="008048A8"/>
    <w:rsid w:val="00814D5F"/>
    <w:rsid w:val="00824642"/>
    <w:rsid w:val="008260FB"/>
    <w:rsid w:val="008264AA"/>
    <w:rsid w:val="00826DDD"/>
    <w:rsid w:val="00835175"/>
    <w:rsid w:val="008352DF"/>
    <w:rsid w:val="008457BE"/>
    <w:rsid w:val="00852D68"/>
    <w:rsid w:val="00857404"/>
    <w:rsid w:val="00863EBA"/>
    <w:rsid w:val="0086595E"/>
    <w:rsid w:val="008730A7"/>
    <w:rsid w:val="00875C2C"/>
    <w:rsid w:val="00880200"/>
    <w:rsid w:val="00883546"/>
    <w:rsid w:val="00887B98"/>
    <w:rsid w:val="00892DAA"/>
    <w:rsid w:val="008A5B6A"/>
    <w:rsid w:val="008A5F1F"/>
    <w:rsid w:val="008A62A4"/>
    <w:rsid w:val="008B02AA"/>
    <w:rsid w:val="008B0624"/>
    <w:rsid w:val="008C40A8"/>
    <w:rsid w:val="008C7A69"/>
    <w:rsid w:val="008D3875"/>
    <w:rsid w:val="008E0BF6"/>
    <w:rsid w:val="008F181E"/>
    <w:rsid w:val="008F2099"/>
    <w:rsid w:val="008F6DBE"/>
    <w:rsid w:val="00903EA0"/>
    <w:rsid w:val="00905F49"/>
    <w:rsid w:val="0092021D"/>
    <w:rsid w:val="009248A3"/>
    <w:rsid w:val="00930F4C"/>
    <w:rsid w:val="0093789C"/>
    <w:rsid w:val="0094001B"/>
    <w:rsid w:val="0094709A"/>
    <w:rsid w:val="009644B5"/>
    <w:rsid w:val="00965FD0"/>
    <w:rsid w:val="00967422"/>
    <w:rsid w:val="00967B87"/>
    <w:rsid w:val="00976B3D"/>
    <w:rsid w:val="009778EE"/>
    <w:rsid w:val="009832C7"/>
    <w:rsid w:val="00984062"/>
    <w:rsid w:val="00987142"/>
    <w:rsid w:val="009A025C"/>
    <w:rsid w:val="009A02D8"/>
    <w:rsid w:val="009A6679"/>
    <w:rsid w:val="009B1251"/>
    <w:rsid w:val="009C2B88"/>
    <w:rsid w:val="009C52B1"/>
    <w:rsid w:val="009C5D5C"/>
    <w:rsid w:val="009D11E7"/>
    <w:rsid w:val="009D5C05"/>
    <w:rsid w:val="009E02C7"/>
    <w:rsid w:val="009E47F5"/>
    <w:rsid w:val="009F0DA4"/>
    <w:rsid w:val="009F1CE3"/>
    <w:rsid w:val="009F3179"/>
    <w:rsid w:val="009F5617"/>
    <w:rsid w:val="009F6A48"/>
    <w:rsid w:val="00A21F5F"/>
    <w:rsid w:val="00A2308B"/>
    <w:rsid w:val="00A2367B"/>
    <w:rsid w:val="00A30A37"/>
    <w:rsid w:val="00A32AA5"/>
    <w:rsid w:val="00A3480B"/>
    <w:rsid w:val="00A4161A"/>
    <w:rsid w:val="00A41A85"/>
    <w:rsid w:val="00A429C0"/>
    <w:rsid w:val="00A4430F"/>
    <w:rsid w:val="00A45D56"/>
    <w:rsid w:val="00A465F2"/>
    <w:rsid w:val="00A51674"/>
    <w:rsid w:val="00A5618F"/>
    <w:rsid w:val="00A62ACB"/>
    <w:rsid w:val="00A62B3A"/>
    <w:rsid w:val="00A64D8B"/>
    <w:rsid w:val="00A718D7"/>
    <w:rsid w:val="00A73DD6"/>
    <w:rsid w:val="00A82B85"/>
    <w:rsid w:val="00A838D9"/>
    <w:rsid w:val="00A86865"/>
    <w:rsid w:val="00A874CB"/>
    <w:rsid w:val="00A92308"/>
    <w:rsid w:val="00A97AD8"/>
    <w:rsid w:val="00AA75FE"/>
    <w:rsid w:val="00AB2685"/>
    <w:rsid w:val="00AC0687"/>
    <w:rsid w:val="00AC1088"/>
    <w:rsid w:val="00AC7A4C"/>
    <w:rsid w:val="00AD0803"/>
    <w:rsid w:val="00AD2E23"/>
    <w:rsid w:val="00AD31ED"/>
    <w:rsid w:val="00AD3DD1"/>
    <w:rsid w:val="00AD4FC1"/>
    <w:rsid w:val="00AF27C1"/>
    <w:rsid w:val="00AF5300"/>
    <w:rsid w:val="00AF75B2"/>
    <w:rsid w:val="00B0160A"/>
    <w:rsid w:val="00B01CB8"/>
    <w:rsid w:val="00B05B0D"/>
    <w:rsid w:val="00B07300"/>
    <w:rsid w:val="00B11B25"/>
    <w:rsid w:val="00B125DB"/>
    <w:rsid w:val="00B17778"/>
    <w:rsid w:val="00B236B9"/>
    <w:rsid w:val="00B23F90"/>
    <w:rsid w:val="00B2526C"/>
    <w:rsid w:val="00B273F6"/>
    <w:rsid w:val="00B36C1C"/>
    <w:rsid w:val="00B37348"/>
    <w:rsid w:val="00B41289"/>
    <w:rsid w:val="00B419FD"/>
    <w:rsid w:val="00B46073"/>
    <w:rsid w:val="00B6018B"/>
    <w:rsid w:val="00B63943"/>
    <w:rsid w:val="00B643E8"/>
    <w:rsid w:val="00B70612"/>
    <w:rsid w:val="00B724C2"/>
    <w:rsid w:val="00B7470C"/>
    <w:rsid w:val="00B74848"/>
    <w:rsid w:val="00B8196E"/>
    <w:rsid w:val="00B81C77"/>
    <w:rsid w:val="00B83FE2"/>
    <w:rsid w:val="00B8758D"/>
    <w:rsid w:val="00B90AAC"/>
    <w:rsid w:val="00B93790"/>
    <w:rsid w:val="00B96179"/>
    <w:rsid w:val="00B96677"/>
    <w:rsid w:val="00B966EC"/>
    <w:rsid w:val="00BA37CA"/>
    <w:rsid w:val="00BA480D"/>
    <w:rsid w:val="00BB143B"/>
    <w:rsid w:val="00BB36EC"/>
    <w:rsid w:val="00BC66C1"/>
    <w:rsid w:val="00BD1C65"/>
    <w:rsid w:val="00BE68E9"/>
    <w:rsid w:val="00BE6D50"/>
    <w:rsid w:val="00BF1A87"/>
    <w:rsid w:val="00C00719"/>
    <w:rsid w:val="00C104F7"/>
    <w:rsid w:val="00C166D5"/>
    <w:rsid w:val="00C327EA"/>
    <w:rsid w:val="00C33ED9"/>
    <w:rsid w:val="00C460EF"/>
    <w:rsid w:val="00C54865"/>
    <w:rsid w:val="00C604E1"/>
    <w:rsid w:val="00C6214D"/>
    <w:rsid w:val="00C62648"/>
    <w:rsid w:val="00C62F81"/>
    <w:rsid w:val="00C631CF"/>
    <w:rsid w:val="00C63C16"/>
    <w:rsid w:val="00C64E49"/>
    <w:rsid w:val="00C668D5"/>
    <w:rsid w:val="00C707CB"/>
    <w:rsid w:val="00C85871"/>
    <w:rsid w:val="00C866FC"/>
    <w:rsid w:val="00C90A34"/>
    <w:rsid w:val="00C960F1"/>
    <w:rsid w:val="00CB4EB4"/>
    <w:rsid w:val="00CB6B89"/>
    <w:rsid w:val="00CB6BE9"/>
    <w:rsid w:val="00CC5E64"/>
    <w:rsid w:val="00CC62AC"/>
    <w:rsid w:val="00CC6A03"/>
    <w:rsid w:val="00CE1351"/>
    <w:rsid w:val="00CE650F"/>
    <w:rsid w:val="00CF31A1"/>
    <w:rsid w:val="00CF3F58"/>
    <w:rsid w:val="00CF5300"/>
    <w:rsid w:val="00CF5B41"/>
    <w:rsid w:val="00D00D8B"/>
    <w:rsid w:val="00D0699F"/>
    <w:rsid w:val="00D20264"/>
    <w:rsid w:val="00D24275"/>
    <w:rsid w:val="00D3027F"/>
    <w:rsid w:val="00D31D05"/>
    <w:rsid w:val="00D32F52"/>
    <w:rsid w:val="00D33904"/>
    <w:rsid w:val="00D40D78"/>
    <w:rsid w:val="00D4244D"/>
    <w:rsid w:val="00D4248A"/>
    <w:rsid w:val="00D42CA6"/>
    <w:rsid w:val="00D42E1F"/>
    <w:rsid w:val="00D45AD5"/>
    <w:rsid w:val="00D52943"/>
    <w:rsid w:val="00D64F5C"/>
    <w:rsid w:val="00D828B1"/>
    <w:rsid w:val="00D84544"/>
    <w:rsid w:val="00D851D8"/>
    <w:rsid w:val="00D903B8"/>
    <w:rsid w:val="00D924DB"/>
    <w:rsid w:val="00D94F7D"/>
    <w:rsid w:val="00DA0D72"/>
    <w:rsid w:val="00DA5EBB"/>
    <w:rsid w:val="00DA6E10"/>
    <w:rsid w:val="00DB13C0"/>
    <w:rsid w:val="00DC029E"/>
    <w:rsid w:val="00DC0C2F"/>
    <w:rsid w:val="00DC310B"/>
    <w:rsid w:val="00DD4D01"/>
    <w:rsid w:val="00DD6B41"/>
    <w:rsid w:val="00DD6DDB"/>
    <w:rsid w:val="00DE23F5"/>
    <w:rsid w:val="00DE2E0F"/>
    <w:rsid w:val="00DE39AA"/>
    <w:rsid w:val="00DF62B4"/>
    <w:rsid w:val="00E03A76"/>
    <w:rsid w:val="00E061B5"/>
    <w:rsid w:val="00E06AB2"/>
    <w:rsid w:val="00E24C62"/>
    <w:rsid w:val="00E2560F"/>
    <w:rsid w:val="00E263A1"/>
    <w:rsid w:val="00E36420"/>
    <w:rsid w:val="00E37673"/>
    <w:rsid w:val="00E41CE7"/>
    <w:rsid w:val="00E514E0"/>
    <w:rsid w:val="00E53A54"/>
    <w:rsid w:val="00E55A0A"/>
    <w:rsid w:val="00E6059D"/>
    <w:rsid w:val="00E61614"/>
    <w:rsid w:val="00E72F16"/>
    <w:rsid w:val="00E7465D"/>
    <w:rsid w:val="00E74B61"/>
    <w:rsid w:val="00E77F49"/>
    <w:rsid w:val="00E80C06"/>
    <w:rsid w:val="00E86E64"/>
    <w:rsid w:val="00E919A9"/>
    <w:rsid w:val="00E9262A"/>
    <w:rsid w:val="00EA228D"/>
    <w:rsid w:val="00EA31C6"/>
    <w:rsid w:val="00EA6D0B"/>
    <w:rsid w:val="00EB17CC"/>
    <w:rsid w:val="00EB7DD0"/>
    <w:rsid w:val="00EC5081"/>
    <w:rsid w:val="00EC5170"/>
    <w:rsid w:val="00EC5F0C"/>
    <w:rsid w:val="00EC6EE5"/>
    <w:rsid w:val="00EC70BF"/>
    <w:rsid w:val="00ED4FAD"/>
    <w:rsid w:val="00ED61EC"/>
    <w:rsid w:val="00EE06C8"/>
    <w:rsid w:val="00EE10FF"/>
    <w:rsid w:val="00EE188E"/>
    <w:rsid w:val="00EE3429"/>
    <w:rsid w:val="00EE57E3"/>
    <w:rsid w:val="00EE6FB5"/>
    <w:rsid w:val="00EF674B"/>
    <w:rsid w:val="00F0175F"/>
    <w:rsid w:val="00F023FC"/>
    <w:rsid w:val="00F03E54"/>
    <w:rsid w:val="00F04BA7"/>
    <w:rsid w:val="00F0622E"/>
    <w:rsid w:val="00F1163F"/>
    <w:rsid w:val="00F204D9"/>
    <w:rsid w:val="00F22B23"/>
    <w:rsid w:val="00F25896"/>
    <w:rsid w:val="00F3115E"/>
    <w:rsid w:val="00F35A64"/>
    <w:rsid w:val="00F36AB4"/>
    <w:rsid w:val="00F52961"/>
    <w:rsid w:val="00F53F91"/>
    <w:rsid w:val="00F53FD2"/>
    <w:rsid w:val="00F54B54"/>
    <w:rsid w:val="00F57534"/>
    <w:rsid w:val="00F60E62"/>
    <w:rsid w:val="00F6121C"/>
    <w:rsid w:val="00F74033"/>
    <w:rsid w:val="00F813B8"/>
    <w:rsid w:val="00F84274"/>
    <w:rsid w:val="00FA24D0"/>
    <w:rsid w:val="00FB1B66"/>
    <w:rsid w:val="00FB54F4"/>
    <w:rsid w:val="00FB74BD"/>
    <w:rsid w:val="00FC5F2B"/>
    <w:rsid w:val="00FD7D70"/>
    <w:rsid w:val="00FE329B"/>
    <w:rsid w:val="00FF3242"/>
    <w:rsid w:val="00FF471E"/>
    <w:rsid w:val="00FF5CFF"/>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paragraph" w:styleId="BodyText">
    <w:name w:val="Body Text"/>
    <w:basedOn w:val="Normal"/>
    <w:link w:val="BodyTextChar"/>
    <w:uiPriority w:val="99"/>
    <w:semiHidden/>
    <w:unhideWhenUsed/>
    <w:rsid w:val="00624AE2"/>
    <w:pPr>
      <w:spacing w:after="120"/>
    </w:pPr>
  </w:style>
  <w:style w:type="character" w:customStyle="1" w:styleId="BodyTextChar">
    <w:name w:val="Body Text Char"/>
    <w:basedOn w:val="DefaultParagraphFont"/>
    <w:link w:val="BodyText"/>
    <w:uiPriority w:val="99"/>
    <w:semiHidden/>
    <w:rsid w:val="00624AE2"/>
    <w:rPr>
      <w:sz w:val="22"/>
      <w:szCs w:val="22"/>
    </w:rPr>
  </w:style>
  <w:style w:type="character" w:styleId="Hyperlink">
    <w:name w:val="Hyperlink"/>
    <w:basedOn w:val="DefaultParagraphFont"/>
    <w:rsid w:val="00624AE2"/>
    <w:rPr>
      <w:color w:val="0000FF"/>
      <w:u w:val="single"/>
    </w:rPr>
  </w:style>
  <w:style w:type="paragraph" w:customStyle="1" w:styleId="PRT">
    <w:name w:val="PRT"/>
    <w:basedOn w:val="Normal"/>
    <w:next w:val="ART"/>
    <w:rsid w:val="00624AE2"/>
    <w:pPr>
      <w:keepNext/>
      <w:numPr>
        <w:numId w:val="18"/>
      </w:numPr>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624AE2"/>
    <w:pPr>
      <w:numPr>
        <w:ilvl w:val="1"/>
        <w:numId w:val="18"/>
      </w:numPr>
      <w:suppressAutoHyphens/>
      <w:spacing w:before="240" w:after="0" w:line="240" w:lineRule="auto"/>
      <w:jc w:val="both"/>
      <w:outlineLvl w:val="0"/>
    </w:pPr>
    <w:rPr>
      <w:rFonts w:ascii="Times New Roman" w:eastAsia="Times New Roman" w:hAnsi="Times New Roman"/>
      <w:szCs w:val="20"/>
    </w:rPr>
  </w:style>
  <w:style w:type="paragraph" w:customStyle="1" w:styleId="DST">
    <w:name w:val="DST"/>
    <w:basedOn w:val="Normal"/>
    <w:next w:val="PR1"/>
    <w:rsid w:val="00624AE2"/>
    <w:pPr>
      <w:numPr>
        <w:ilvl w:val="2"/>
        <w:numId w:val="18"/>
      </w:num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624AE2"/>
    <w:pPr>
      <w:keepNext/>
      <w:numPr>
        <w:ilvl w:val="3"/>
        <w:numId w:val="18"/>
      </w:numPr>
      <w:suppressAutoHyphens/>
      <w:spacing w:before="480" w:after="0" w:line="240" w:lineRule="auto"/>
      <w:jc w:val="both"/>
      <w:outlineLvl w:val="1"/>
    </w:pPr>
    <w:rPr>
      <w:rFonts w:ascii="Times New Roman" w:eastAsia="Times New Roman" w:hAnsi="Times New Roman"/>
      <w:szCs w:val="20"/>
    </w:rPr>
  </w:style>
  <w:style w:type="paragraph" w:customStyle="1" w:styleId="PR1">
    <w:name w:val="PR1"/>
    <w:basedOn w:val="Normal"/>
    <w:rsid w:val="00624AE2"/>
    <w:pPr>
      <w:numPr>
        <w:ilvl w:val="4"/>
        <w:numId w:val="18"/>
      </w:numPr>
      <w:suppressAutoHyphens/>
      <w:spacing w:before="240" w:after="0" w:line="240" w:lineRule="auto"/>
      <w:jc w:val="both"/>
      <w:outlineLvl w:val="2"/>
    </w:pPr>
    <w:rPr>
      <w:rFonts w:ascii="Times New Roman" w:eastAsia="Times New Roman" w:hAnsi="Times New Roman"/>
      <w:szCs w:val="20"/>
    </w:rPr>
  </w:style>
  <w:style w:type="paragraph" w:customStyle="1" w:styleId="PR2">
    <w:name w:val="PR2"/>
    <w:basedOn w:val="Normal"/>
    <w:rsid w:val="00624AE2"/>
    <w:pPr>
      <w:numPr>
        <w:ilvl w:val="5"/>
        <w:numId w:val="18"/>
      </w:numPr>
      <w:suppressAutoHyphens/>
      <w:spacing w:after="0" w:line="240" w:lineRule="auto"/>
      <w:jc w:val="both"/>
      <w:outlineLvl w:val="3"/>
    </w:pPr>
    <w:rPr>
      <w:rFonts w:ascii="Times New Roman" w:eastAsia="Times New Roman" w:hAnsi="Times New Roman"/>
      <w:szCs w:val="20"/>
    </w:rPr>
  </w:style>
  <w:style w:type="paragraph" w:customStyle="1" w:styleId="PR3">
    <w:name w:val="PR3"/>
    <w:basedOn w:val="Normal"/>
    <w:link w:val="PR3Char2"/>
    <w:rsid w:val="00624AE2"/>
    <w:pPr>
      <w:numPr>
        <w:ilvl w:val="6"/>
        <w:numId w:val="18"/>
      </w:numPr>
      <w:suppressAutoHyphens/>
      <w:spacing w:after="0" w:line="240" w:lineRule="auto"/>
      <w:jc w:val="both"/>
      <w:outlineLvl w:val="4"/>
    </w:pPr>
    <w:rPr>
      <w:rFonts w:ascii="Times New Roman" w:eastAsia="Times New Roman" w:hAnsi="Times New Roman"/>
      <w:szCs w:val="20"/>
    </w:rPr>
  </w:style>
  <w:style w:type="paragraph" w:customStyle="1" w:styleId="PR4">
    <w:name w:val="PR4"/>
    <w:basedOn w:val="Normal"/>
    <w:rsid w:val="00624AE2"/>
    <w:pPr>
      <w:numPr>
        <w:ilvl w:val="7"/>
        <w:numId w:val="18"/>
      </w:numPr>
      <w:suppressAutoHyphens/>
      <w:spacing w:after="0" w:line="240" w:lineRule="auto"/>
      <w:jc w:val="both"/>
      <w:outlineLvl w:val="5"/>
    </w:pPr>
    <w:rPr>
      <w:rFonts w:ascii="Times New Roman" w:eastAsia="Times New Roman" w:hAnsi="Times New Roman"/>
      <w:szCs w:val="20"/>
    </w:rPr>
  </w:style>
  <w:style w:type="paragraph" w:customStyle="1" w:styleId="PR5">
    <w:name w:val="PR5"/>
    <w:basedOn w:val="Normal"/>
    <w:rsid w:val="00624AE2"/>
    <w:pPr>
      <w:numPr>
        <w:ilvl w:val="8"/>
        <w:numId w:val="18"/>
      </w:numPr>
      <w:suppressAutoHyphens/>
      <w:spacing w:after="0" w:line="240" w:lineRule="auto"/>
      <w:jc w:val="both"/>
      <w:outlineLvl w:val="6"/>
    </w:pPr>
    <w:rPr>
      <w:rFonts w:ascii="Times New Roman" w:eastAsia="Times New Roman" w:hAnsi="Times New Roman"/>
      <w:szCs w:val="20"/>
    </w:rPr>
  </w:style>
  <w:style w:type="character" w:customStyle="1" w:styleId="PR3Char2">
    <w:name w:val="PR3 Char2"/>
    <w:basedOn w:val="DefaultParagraphFont"/>
    <w:link w:val="PR3"/>
    <w:rsid w:val="00624AE2"/>
    <w:rPr>
      <w:rFonts w:ascii="Times New Roman" w:eastAsia="Times New Roman" w:hAnsi="Times New Roman"/>
      <w:sz w:val="22"/>
    </w:rPr>
  </w:style>
  <w:style w:type="paragraph" w:customStyle="1" w:styleId="Numbering1">
    <w:name w:val="Numbering 1"/>
    <w:basedOn w:val="List"/>
    <w:rsid w:val="00624AE2"/>
    <w:pPr>
      <w:suppressAutoHyphens/>
      <w:spacing w:after="120" w:line="240" w:lineRule="auto"/>
      <w:contextualSpacing w:val="0"/>
    </w:pPr>
    <w:rPr>
      <w:rFonts w:ascii="Times New Roman" w:eastAsia="Times New Roman" w:hAnsi="Times New Roman"/>
      <w:sz w:val="24"/>
      <w:szCs w:val="24"/>
      <w:lang w:eastAsia="ar-SA"/>
    </w:rPr>
  </w:style>
  <w:style w:type="paragraph" w:styleId="List">
    <w:name w:val="List"/>
    <w:basedOn w:val="Normal"/>
    <w:uiPriority w:val="99"/>
    <w:semiHidden/>
    <w:unhideWhenUsed/>
    <w:rsid w:val="00624AE2"/>
    <w:pPr>
      <w:ind w:left="360" w:hanging="360"/>
      <w:contextualSpacing/>
    </w:pPr>
  </w:style>
  <w:style w:type="paragraph" w:customStyle="1" w:styleId="Default">
    <w:name w:val="Default"/>
    <w:rsid w:val="00004CA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410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38BD-F617-4FC5-949A-063E7339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98</cp:revision>
  <cp:lastPrinted>2010-11-04T17:24:00Z</cp:lastPrinted>
  <dcterms:created xsi:type="dcterms:W3CDTF">2011-08-04T17:37:00Z</dcterms:created>
  <dcterms:modified xsi:type="dcterms:W3CDTF">2011-10-12T18:18:00Z</dcterms:modified>
</cp:coreProperties>
</file>