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92" w:rsidRDefault="00A46EBF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Infrastructure Technologies Advisory Group</w:t>
      </w:r>
    </w:p>
    <w:p w:rsidR="00C91592" w:rsidRDefault="00A46EBF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C91592" w:rsidRDefault="00A46EBF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October 4, 2018</w:t>
      </w:r>
    </w:p>
    <w:p w:rsidR="00C91592" w:rsidRDefault="00A46EB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2" w:name="_r4m1x5h0vbjj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Greg Sparks, Greg James, Debbie </w:t>
      </w:r>
      <w:proofErr w:type="spellStart"/>
      <w:r>
        <w:rPr>
          <w:rFonts w:ascii="Arial" w:eastAsia="Arial" w:hAnsi="Arial" w:cs="Arial"/>
          <w:sz w:val="24"/>
          <w:szCs w:val="24"/>
        </w:rPr>
        <w:t>Carraway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David </w:t>
      </w:r>
      <w:proofErr w:type="spellStart"/>
      <w:r>
        <w:rPr>
          <w:rFonts w:ascii="Arial" w:eastAsia="Arial" w:hAnsi="Arial" w:cs="Arial"/>
          <w:sz w:val="24"/>
          <w:szCs w:val="24"/>
        </w:rPr>
        <w:t>Ladrie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Ed Rogers, Kevin Lee, Doug Flowers, Shawn Dunning, Vijay Tailor, Mark Williams, Chris Allen, Jill Sexton, Keith Boswell, Joshua </w:t>
      </w:r>
      <w:proofErr w:type="spellStart"/>
      <w:r>
        <w:rPr>
          <w:rFonts w:ascii="Arial" w:eastAsia="Arial" w:hAnsi="Arial" w:cs="Arial"/>
          <w:sz w:val="24"/>
          <w:szCs w:val="24"/>
        </w:rPr>
        <w:t>Gira</w:t>
      </w:r>
      <w:proofErr w:type="spellEnd"/>
      <w:r>
        <w:rPr>
          <w:rFonts w:ascii="Arial" w:eastAsia="Arial" w:hAnsi="Arial" w:cs="Arial"/>
          <w:sz w:val="24"/>
          <w:szCs w:val="24"/>
        </w:rPr>
        <w:t>, Pat Gaddy</w:t>
      </w:r>
      <w:r w:rsidR="00A719BB">
        <w:rPr>
          <w:rFonts w:ascii="Arial" w:eastAsia="Arial" w:hAnsi="Arial" w:cs="Arial"/>
          <w:sz w:val="24"/>
          <w:szCs w:val="24"/>
        </w:rPr>
        <w:t>, Josh Jury</w:t>
      </w:r>
      <w:bookmarkStart w:id="3" w:name="_GoBack"/>
      <w:bookmarkEnd w:id="3"/>
    </w:p>
    <w:p w:rsidR="00C91592" w:rsidRDefault="00A46EB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usrew1w5n2nw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C91592" w:rsidRDefault="00C91592"/>
    <w:p w:rsidR="00C91592" w:rsidRDefault="00A46EBF">
      <w:r>
        <w:t>Now have a Google group</w:t>
      </w:r>
      <w:proofErr w:type="gramStart"/>
      <w:r>
        <w:t xml:space="preserve">…  </w:t>
      </w:r>
      <w:proofErr w:type="gramEnd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"mailto</w:instrText>
      </w:r>
      <w:r>
        <w:rPr>
          <w:color w:val="1155CC"/>
          <w:u w:val="single"/>
        </w:rPr>
        <w:instrText xml:space="preserve">:group-intag@ncsu.edu"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group-intag@ncsu.edu</w:t>
      </w:r>
      <w:r>
        <w:rPr>
          <w:color w:val="1155CC"/>
          <w:u w:val="single"/>
        </w:rPr>
        <w:fldChar w:fldCharType="end"/>
      </w:r>
    </w:p>
    <w:p w:rsidR="00C91592" w:rsidRDefault="00C91592"/>
    <w:p w:rsidR="00C91592" w:rsidRDefault="00A46EBF">
      <w:pPr>
        <w:rPr>
          <w:sz w:val="24"/>
          <w:szCs w:val="24"/>
        </w:rPr>
      </w:pPr>
      <w:r>
        <w:rPr>
          <w:b/>
        </w:rPr>
        <w:t>Staffing Update</w:t>
      </w:r>
    </w:p>
    <w:p w:rsidR="00C91592" w:rsidRDefault="00A46EBF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NOC Manager position (reporting to Kristina) - Reposting position</w:t>
      </w:r>
    </w:p>
    <w:p w:rsidR="00C91592" w:rsidRDefault="00C91592">
      <w:pPr>
        <w:rPr>
          <w:sz w:val="24"/>
          <w:szCs w:val="24"/>
        </w:rPr>
      </w:pPr>
    </w:p>
    <w:p w:rsidR="00C91592" w:rsidRDefault="00A46EBF">
      <w:pPr>
        <w:rPr>
          <w:b/>
          <w:sz w:val="24"/>
          <w:szCs w:val="24"/>
        </w:rPr>
      </w:pPr>
      <w:r>
        <w:rPr>
          <w:b/>
          <w:sz w:val="24"/>
          <w:szCs w:val="24"/>
        </w:rPr>
        <w:t>JEMS (Jack Exemption Management System) Decommissioning</w:t>
      </w:r>
    </w:p>
    <w:p w:rsidR="00C91592" w:rsidRDefault="00A46EB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new ports patched, look for open ports, then any VLAN 99, and f</w:t>
      </w:r>
      <w:r>
        <w:rPr>
          <w:sz w:val="24"/>
          <w:szCs w:val="24"/>
        </w:rPr>
        <w:t>inally utilize a port that’s been inactive for 180+ days</w:t>
      </w:r>
    </w:p>
    <w:p w:rsidR="00C91592" w:rsidRDefault="00A46EB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a process to notify folks when a port is unpatched - suggestion is send to all PCR admins for given building</w:t>
      </w:r>
    </w:p>
    <w:p w:rsidR="00C91592" w:rsidRDefault="00C91592">
      <w:pPr>
        <w:ind w:left="720"/>
        <w:rPr>
          <w:sz w:val="24"/>
          <w:szCs w:val="24"/>
        </w:rPr>
      </w:pPr>
    </w:p>
    <w:p w:rsidR="00C91592" w:rsidRDefault="00A46EB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:rsidR="00C91592" w:rsidRDefault="00A46E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through contract hurdles with Spectrum for new service</w:t>
      </w:r>
    </w:p>
    <w:p w:rsidR="00C91592" w:rsidRDefault="00A46E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target roll-out date: January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C91592" w:rsidRDefault="00A46E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Poe selected as site for NMDF.  Getting ready to start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 </w:t>
      </w:r>
      <w:proofErr w:type="gramStart"/>
      <w:r>
        <w:rPr>
          <w:sz w:val="24"/>
          <w:szCs w:val="24"/>
        </w:rPr>
        <w:t>design</w:t>
      </w:r>
      <w:proofErr w:type="gramEnd"/>
      <w:r>
        <w:rPr>
          <w:sz w:val="24"/>
          <w:szCs w:val="24"/>
        </w:rPr>
        <w:t>.</w:t>
      </w:r>
    </w:p>
    <w:p w:rsidR="00C91592" w:rsidRDefault="00A46E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No date yet for push to remove non-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equipment but will be after processes are in place for hosting non-OIT equipment in DC2/EDC</w:t>
      </w: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C91592" w:rsidRDefault="00A46E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OSP cables only (52% complete)</w:t>
      </w:r>
    </w:p>
    <w:p w:rsidR="00C91592" w:rsidRDefault="00A46E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with Univ. Architect Office on telecom utility mapping</w:t>
      </w: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C91592" w:rsidRDefault="00A46E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 construction: CVM Main, Lang &amp; Comp Labs, Delta Zeta, Dabney, Brooks</w:t>
      </w:r>
      <w:r>
        <w:rPr>
          <w:sz w:val="24"/>
          <w:szCs w:val="24"/>
        </w:rPr>
        <w:br/>
      </w:r>
      <w:r>
        <w:rPr>
          <w:sz w:val="24"/>
          <w:szCs w:val="24"/>
        </w:rPr>
        <w:t>In design: CMAST, Butler, Lambda Chi Alpha, Weaver Labs, Patterson</w:t>
      </w: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Campus Network</w:t>
      </w:r>
    </w:p>
    <w:p w:rsidR="00C91592" w:rsidRDefault="00A46EB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C91592" w:rsidRDefault="00A46EB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master plan design/estimate for providing data network to  Lake Wheeler Rd. farms</w:t>
      </w:r>
    </w:p>
    <w:p w:rsidR="00C91592" w:rsidRDefault="00A46EB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C91592" w:rsidRDefault="00A46EB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VPN decision made - Working with NWN to do configuration and installation of production boxes</w:t>
      </w:r>
    </w:p>
    <w:p w:rsidR="00C91592" w:rsidRDefault="00A46EB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Client testing going on now within OIT- expect to implement in the next 2-3 months</w:t>
      </w:r>
    </w:p>
    <w:p w:rsidR="00C91592" w:rsidRDefault="00A46EB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</w:t>
      </w:r>
      <w:r>
        <w:rPr>
          <w:sz w:val="24"/>
          <w:szCs w:val="24"/>
        </w:rPr>
        <w:t xml:space="preserve"> allow for 2-factor for VPN</w:t>
      </w:r>
    </w:p>
    <w:p w:rsidR="00C91592" w:rsidRDefault="00A46EB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Thought now is to go live with 2FA on the rollout</w:t>
      </w:r>
    </w:p>
    <w:p w:rsidR="00C91592" w:rsidRDefault="00A46EB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:rsidR="00C91592" w:rsidRDefault="00A46EB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purchased </w:t>
      </w:r>
      <w:proofErr w:type="spellStart"/>
      <w:r>
        <w:rPr>
          <w:sz w:val="24"/>
          <w:szCs w:val="24"/>
        </w:rPr>
        <w:t>Infoblox</w:t>
      </w:r>
      <w:proofErr w:type="spellEnd"/>
      <w:r>
        <w:rPr>
          <w:sz w:val="24"/>
          <w:szCs w:val="24"/>
        </w:rPr>
        <w:t xml:space="preserve"> (new DDI (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NS,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HCP,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P Address Management) solution) - Phased migration to be completed by end of November.</w:t>
      </w:r>
    </w:p>
    <w:p w:rsidR="00C91592" w:rsidRDefault="00A46EB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Construction in progress o</w:t>
      </w:r>
      <w:r>
        <w:rPr>
          <w:sz w:val="24"/>
          <w:szCs w:val="24"/>
        </w:rPr>
        <w:t>n AFTC infrastructure lab expansion/upgrade.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C91592" w:rsidRDefault="00A46E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C91592" w:rsidRDefault="00A46EB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:rsidR="00C91592" w:rsidRDefault="00A46EB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:rsidR="00C91592" w:rsidRDefault="00A46EB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 target date for completion December 22, 2019</w:t>
      </w:r>
    </w:p>
    <w:p w:rsidR="00C91592" w:rsidRDefault="00A46E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standard - RFI responses under review</w:t>
      </w:r>
    </w:p>
    <w:p w:rsidR="00C91592" w:rsidRDefault="00A46E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Intake processes being refined</w:t>
      </w:r>
    </w:p>
    <w:p w:rsidR="00C91592" w:rsidRDefault="00A46E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EDC now operational (in pilot phase)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C91592" w:rsidRDefault="00A46E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designs - 45/47 academic buildings (96%), 11/58 admin buildings (19%) - Target date for completion=Summer ‘19</w:t>
      </w:r>
    </w:p>
    <w:p w:rsidR="00C91592" w:rsidRDefault="00A46E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PCI - Reviewing Pen test results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C91592" w:rsidRDefault="00A46E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in progress on 6 buildings.  Working through hazmat roadblock.  List: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91592" w:rsidRDefault="00A46E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Instead </w:t>
      </w:r>
      <w:r>
        <w:rPr>
          <w:sz w:val="24"/>
          <w:szCs w:val="24"/>
        </w:rPr>
        <w:t>of adding new initiatives, focusing on inventorying enterprise scope efforts already underway that support the goals - there are lots</w:t>
      </w:r>
    </w:p>
    <w:p w:rsidR="00C91592" w:rsidRDefault="00A46E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:rsidR="00C91592" w:rsidRDefault="00A46EBF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CMDB workshop held in September, apparent that change management revamp needs to happen in conjunction an</w:t>
      </w:r>
      <w:r>
        <w:rPr>
          <w:sz w:val="24"/>
          <w:szCs w:val="24"/>
        </w:rPr>
        <w:t>d as a critical path before rolling out CMDB</w:t>
      </w:r>
    </w:p>
    <w:p w:rsidR="00C91592" w:rsidRDefault="00C91592">
      <w:pPr>
        <w:ind w:left="1440"/>
        <w:rPr>
          <w:sz w:val="24"/>
          <w:szCs w:val="24"/>
        </w:rPr>
      </w:pP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:rsidR="00C91592" w:rsidRDefault="00A46E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Received funding for FY 18/19 phase of CAT5 upgrade projects</w:t>
      </w:r>
    </w:p>
    <w:p w:rsidR="00C91592" w:rsidRDefault="00A46E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Added DC2 needs ($7 million) to the campus IPL (</w:t>
      </w:r>
      <w:hyperlink r:id="rId8" w:anchor="gid=387967991">
        <w:r>
          <w:rPr>
            <w:color w:val="1155CC"/>
            <w:sz w:val="24"/>
            <w:szCs w:val="24"/>
            <w:u w:val="single"/>
          </w:rPr>
          <w:t>integrated priority list</w:t>
        </w:r>
      </w:hyperlink>
      <w:r>
        <w:rPr>
          <w:sz w:val="24"/>
          <w:szCs w:val="24"/>
        </w:rPr>
        <w:t>)</w:t>
      </w:r>
    </w:p>
    <w:p w:rsidR="00C91592" w:rsidRDefault="00A46E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Cooling enhancements, generator replacement, UPS replacements,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power concerns. The goal is to incre</w:t>
      </w:r>
      <w:r>
        <w:rPr>
          <w:sz w:val="24"/>
          <w:szCs w:val="24"/>
        </w:rPr>
        <w:t>ase density in DC2.</w:t>
      </w:r>
    </w:p>
    <w:p w:rsidR="00C91592" w:rsidRDefault="00A46E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level </w:t>
      </w:r>
      <w:hyperlink r:id="rId9" w:anchor="slide=id.p">
        <w:r>
          <w:rPr>
            <w:color w:val="1155CC"/>
            <w:sz w:val="24"/>
            <w:szCs w:val="24"/>
            <w:u w:val="single"/>
          </w:rPr>
          <w:t>overview of connectivity rate</w:t>
        </w:r>
      </w:hyperlink>
    </w:p>
    <w:p w:rsidR="00C91592" w:rsidRDefault="00A46E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How did central funds get reallocated?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C91592" w:rsidRDefault="00A46E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C91592" w:rsidRDefault="00A46EB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Security updates</w:t>
      </w:r>
    </w:p>
    <w:p w:rsidR="00C91592" w:rsidRDefault="00A46E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Call Center - Callback queue development</w:t>
      </w:r>
    </w:p>
    <w:p w:rsidR="00C91592" w:rsidRDefault="00A46E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Investigating PSTN cost savings options </w:t>
      </w:r>
    </w:p>
    <w:p w:rsidR="00C91592" w:rsidRDefault="00A46E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Collaboration on collaboration and conferencing at NCSU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592" w:rsidRDefault="00A46E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C91592" w:rsidRDefault="00A46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PCI - Pen test, automation</w:t>
      </w:r>
    </w:p>
    <w:p w:rsidR="00C91592" w:rsidRDefault="00A46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:rsidR="00C91592" w:rsidRDefault="00A46EB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</w:t>
      </w:r>
    </w:p>
    <w:p w:rsidR="00C91592" w:rsidRDefault="00A46EB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C91592" w:rsidRDefault="00A46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C91592" w:rsidRDefault="00A46EB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VLAN validation tools in the VMWare environment</w:t>
      </w:r>
    </w:p>
    <w:p w:rsidR="00C91592" w:rsidRDefault="00A46EB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C91592" w:rsidRDefault="00A46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paid for professional services to help upgrade controllers to 8.x code - </w:t>
      </w:r>
    </w:p>
    <w:p w:rsidR="00C91592" w:rsidRDefault="00A46EB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with CAD to see if we can determine if there are any issues with the mixed model environment.</w:t>
      </w:r>
    </w:p>
    <w:p w:rsidR="00C91592" w:rsidRDefault="00A46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C91592" w:rsidRDefault="00A46EB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10" w:anchor="gid=2136708155">
        <w:r>
          <w:rPr>
            <w:color w:val="1155CC"/>
            <w:sz w:val="24"/>
            <w:szCs w:val="24"/>
            <w:u w:val="single"/>
          </w:rPr>
          <w:t>Classro</w:t>
        </w:r>
        <w:r>
          <w:rPr>
            <w:color w:val="1155CC"/>
            <w:sz w:val="24"/>
            <w:szCs w:val="24"/>
            <w:u w:val="single"/>
          </w:rPr>
          <w:t>om Coverage</w:t>
        </w:r>
      </w:hyperlink>
      <w:r>
        <w:rPr>
          <w:sz w:val="24"/>
          <w:szCs w:val="24"/>
        </w:rPr>
        <w:t xml:space="preserve"> - current list</w:t>
      </w:r>
    </w:p>
    <w:p w:rsidR="00C91592" w:rsidRDefault="00A46EBF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15 out of 237 110-classrooms remain - all by end of calendar yr.</w:t>
      </w:r>
    </w:p>
    <w:p w:rsidR="00C91592" w:rsidRDefault="00A46EBF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Future: need to begin discussion on 210 classrooms funding</w:t>
      </w:r>
    </w:p>
    <w:p w:rsidR="00C91592" w:rsidRDefault="00A46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:rsidR="00C91592" w:rsidRDefault="00A46EB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:rsidR="00C91592" w:rsidRDefault="00A46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:rsidR="00C91592" w:rsidRDefault="00A46EB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</w:t>
      </w:r>
    </w:p>
    <w:p w:rsidR="00C91592" w:rsidRDefault="00A46EB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goal is to eventually transition as many stakeholders as possible to use this SSID </w:t>
      </w:r>
    </w:p>
    <w:p w:rsidR="00C91592" w:rsidRDefault="00A46EB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C91592" w:rsidRDefault="00A46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1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C91592" w:rsidRDefault="00C91592">
      <w:pPr>
        <w:rPr>
          <w:b/>
        </w:rPr>
      </w:pPr>
    </w:p>
    <w:p w:rsidR="00C91592" w:rsidRDefault="00A46EBF">
      <w:r>
        <w:rPr>
          <w:b/>
        </w:rPr>
        <w:t>Storage Infrastructure</w:t>
      </w:r>
    </w:p>
    <w:p w:rsidR="00C91592" w:rsidRDefault="00A46EBF">
      <w:pPr>
        <w:numPr>
          <w:ilvl w:val="0"/>
          <w:numId w:val="8"/>
        </w:numPr>
        <w:contextualSpacing/>
      </w:pPr>
      <w:r>
        <w:t xml:space="preserve">Changing from </w:t>
      </w:r>
      <w:proofErr w:type="spellStart"/>
      <w:r>
        <w:t>Netbackup</w:t>
      </w:r>
      <w:proofErr w:type="spellEnd"/>
      <w:r>
        <w:t xml:space="preserve"> to Data Protection Suite (Dell/EMC pr</w:t>
      </w:r>
      <w:r>
        <w:t>oduct), shifts backup traffic to Ethernet from Fiber Channel - target to complete end of August</w:t>
      </w:r>
    </w:p>
    <w:p w:rsidR="00C91592" w:rsidRDefault="00A46EBF">
      <w:pPr>
        <w:numPr>
          <w:ilvl w:val="0"/>
          <w:numId w:val="8"/>
        </w:numPr>
        <w:contextualSpacing/>
      </w:pPr>
      <w:r>
        <w:t xml:space="preserve">Backup capacity challenges have been encountered that appear to be related to database moves to </w:t>
      </w:r>
      <w:proofErr w:type="spellStart"/>
      <w:r>
        <w:t>Exadata</w:t>
      </w:r>
      <w:proofErr w:type="spellEnd"/>
      <w:r>
        <w:t xml:space="preserve"> - deduplication seems to not be effective between Solari</w:t>
      </w:r>
      <w:r>
        <w:t xml:space="preserve">s DB backups and </w:t>
      </w:r>
      <w:proofErr w:type="spellStart"/>
      <w:r>
        <w:t>Exadata</w:t>
      </w:r>
      <w:proofErr w:type="spellEnd"/>
      <w:r>
        <w:t xml:space="preserve"> backups</w:t>
      </w:r>
    </w:p>
    <w:p w:rsidR="00C91592" w:rsidRDefault="00A46EBF">
      <w:pPr>
        <w:numPr>
          <w:ilvl w:val="0"/>
          <w:numId w:val="8"/>
        </w:numPr>
        <w:contextualSpacing/>
      </w:pPr>
      <w:hyperlink r:id="rId12">
        <w:r>
          <w:rPr>
            <w:color w:val="1155CC"/>
            <w:u w:val="single"/>
          </w:rPr>
          <w:t>Inventory</w:t>
        </w:r>
      </w:hyperlink>
      <w:r>
        <w:t xml:space="preserve"> of OIT storage services underway</w:t>
      </w:r>
    </w:p>
    <w:p w:rsidR="00C91592" w:rsidRDefault="00A46EBF">
      <w:pPr>
        <w:numPr>
          <w:ilvl w:val="0"/>
          <w:numId w:val="8"/>
        </w:numPr>
        <w:contextualSpacing/>
      </w:pPr>
      <w:r>
        <w:t>Plan to offer a tier 3 storage offering (NAS and block acces</w:t>
      </w:r>
      <w:r>
        <w:t>sible near-line SAS storage with large, 6-8TB, slow, 7200rpm, disks) this FY</w:t>
      </w:r>
    </w:p>
    <w:p w:rsidR="00C91592" w:rsidRDefault="00A46EBF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t xml:space="preserve"> Governance Revamp</w:t>
      </w:r>
    </w:p>
    <w:p w:rsidR="00C91592" w:rsidRDefault="00A46EBF">
      <w:pPr>
        <w:pStyle w:val="Heading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7" w:name="_dstxtzhao6nk" w:colFirst="0" w:colLast="0"/>
      <w:bookmarkEnd w:id="7"/>
      <w:r>
        <w:rPr>
          <w:rFonts w:ascii="Arial" w:eastAsia="Arial" w:hAnsi="Arial" w:cs="Arial"/>
          <w:b w:val="0"/>
          <w:color w:val="000000"/>
        </w:rPr>
        <w:t>Need to figure out future of ITSAC-I and any relationship to this group</w:t>
      </w:r>
    </w:p>
    <w:p w:rsidR="00C91592" w:rsidRDefault="00A46EBF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8" w:name="_4hxojl9ouaj7" w:colFirst="0" w:colLast="0"/>
      <w:bookmarkEnd w:id="8"/>
      <w:r>
        <w:rPr>
          <w:rFonts w:ascii="Arial" w:eastAsia="Arial" w:hAnsi="Arial" w:cs="Arial"/>
          <w:color w:val="000000"/>
        </w:rPr>
        <w:t>Parking Lot Items</w:t>
      </w:r>
    </w:p>
    <w:p w:rsidR="00C91592" w:rsidRDefault="00A46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C91592" w:rsidRDefault="00A46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</w:t>
      </w:r>
      <w:r>
        <w:rPr>
          <w:sz w:val="24"/>
          <w:szCs w:val="24"/>
        </w:rPr>
        <w:t xml:space="preserve"> the data center)</w:t>
      </w:r>
    </w:p>
    <w:p w:rsidR="00C91592" w:rsidRDefault="00A46EB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9" w:name="_gfd48qard3bg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C91592" w:rsidRDefault="00A46E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November 15, 2018 - 9:30, AFTC 106</w:t>
      </w: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91592" w:rsidRDefault="00C91592">
      <w:pPr>
        <w:pBdr>
          <w:top w:val="nil"/>
          <w:left w:val="nil"/>
          <w:bottom w:val="nil"/>
          <w:right w:val="nil"/>
          <w:between w:val="nil"/>
        </w:pBdr>
      </w:pPr>
    </w:p>
    <w:sectPr w:rsidR="00C91592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6EBF">
      <w:pPr>
        <w:spacing w:line="240" w:lineRule="auto"/>
      </w:pPr>
      <w:r>
        <w:separator/>
      </w:r>
    </w:p>
  </w:endnote>
  <w:endnote w:type="continuationSeparator" w:id="0">
    <w:p w:rsidR="00000000" w:rsidRDefault="00A46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6EBF">
      <w:pPr>
        <w:spacing w:line="240" w:lineRule="auto"/>
      </w:pPr>
      <w:r>
        <w:separator/>
      </w:r>
    </w:p>
  </w:footnote>
  <w:footnote w:type="continuationSeparator" w:id="0">
    <w:p w:rsidR="00000000" w:rsidRDefault="00A46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92" w:rsidRDefault="00C915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A5C"/>
    <w:multiLevelType w:val="multilevel"/>
    <w:tmpl w:val="4F4A4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4285D"/>
    <w:multiLevelType w:val="multilevel"/>
    <w:tmpl w:val="409C3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4C7CA0"/>
    <w:multiLevelType w:val="multilevel"/>
    <w:tmpl w:val="BBA8C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F652F2"/>
    <w:multiLevelType w:val="multilevel"/>
    <w:tmpl w:val="CEB21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C7761"/>
    <w:multiLevelType w:val="multilevel"/>
    <w:tmpl w:val="3B081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0C41F9"/>
    <w:multiLevelType w:val="multilevel"/>
    <w:tmpl w:val="3DA08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C6722C"/>
    <w:multiLevelType w:val="multilevel"/>
    <w:tmpl w:val="ADCE4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A244AA"/>
    <w:multiLevelType w:val="multilevel"/>
    <w:tmpl w:val="D2A82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473439"/>
    <w:multiLevelType w:val="multilevel"/>
    <w:tmpl w:val="556A5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512F05"/>
    <w:multiLevelType w:val="multilevel"/>
    <w:tmpl w:val="FE546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7042A6"/>
    <w:multiLevelType w:val="multilevel"/>
    <w:tmpl w:val="50B45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5B6B66"/>
    <w:multiLevelType w:val="multilevel"/>
    <w:tmpl w:val="FD9A8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535F50"/>
    <w:multiLevelType w:val="multilevel"/>
    <w:tmpl w:val="8C3E9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356B2E"/>
    <w:multiLevelType w:val="multilevel"/>
    <w:tmpl w:val="2ADA4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116A22"/>
    <w:multiLevelType w:val="multilevel"/>
    <w:tmpl w:val="EC062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134D63"/>
    <w:multiLevelType w:val="multilevel"/>
    <w:tmpl w:val="02B8B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FE029A"/>
    <w:multiLevelType w:val="multilevel"/>
    <w:tmpl w:val="FBDA7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DE4F2B"/>
    <w:multiLevelType w:val="multilevel"/>
    <w:tmpl w:val="EDC4F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9C56E2"/>
    <w:multiLevelType w:val="multilevel"/>
    <w:tmpl w:val="A30A1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8"/>
  </w:num>
  <w:num w:numId="9">
    <w:abstractNumId w:val="15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17"/>
  </w:num>
  <w:num w:numId="15">
    <w:abstractNumId w:val="16"/>
  </w:num>
  <w:num w:numId="16">
    <w:abstractNumId w:val="2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2"/>
    <w:rsid w:val="000D6E8C"/>
    <w:rsid w:val="00A46EBF"/>
    <w:rsid w:val="00A719BB"/>
    <w:rsid w:val="00C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0EB1"/>
  <w15:docId w15:val="{5506DEF2-39B7-46ED-964F-513B2D12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OInj8RG-3s-9ceWRcFi46F9sHIAMOLbAyFvB_rAwco/ed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ZpdmpP7JNH1_P2tvzCISjmNXMzE-VyaEY1KrZv3uPc/edit?usp=sharing" TargetMode="External"/><Relationship Id="rId12" Type="http://schemas.openxmlformats.org/officeDocument/2006/relationships/hyperlink" Target="https://docs.google.com/spreadsheets/d/1j_qQgCwSBvMwthNNKpPHnAxlzGbFc5LDl6AZFtopqJ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EM_YfPCHXV7BNHRdlUaj0_x6E75tMZblSppfhlmfJg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ocL2Wv5DcxG2opX48dXxHjJbZbjYm-GQV40W0JgxRDE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2018-11-02T20:24:00Z</dcterms:created>
  <dcterms:modified xsi:type="dcterms:W3CDTF">2018-11-02T20:24:00Z</dcterms:modified>
</cp:coreProperties>
</file>